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9EE47" w14:textId="69FBD000" w:rsidR="000F2DBD" w:rsidRPr="00452611" w:rsidRDefault="000F2DBD" w:rsidP="000F2DBD">
      <w:pPr>
        <w:autoSpaceDE w:val="0"/>
        <w:autoSpaceDN w:val="0"/>
        <w:adjustRightInd w:val="0"/>
        <w:spacing w:after="0" w:line="240" w:lineRule="auto"/>
        <w:jc w:val="both"/>
        <w:rPr>
          <w:rFonts w:ascii="Arial" w:hAnsi="Arial" w:cs="Arial"/>
          <w:b/>
          <w:bCs/>
          <w:sz w:val="20"/>
          <w:szCs w:val="20"/>
        </w:rPr>
      </w:pPr>
      <w:r w:rsidRPr="00452611">
        <w:rPr>
          <w:rFonts w:ascii="Arial" w:hAnsi="Arial" w:cs="Arial"/>
          <w:b/>
          <w:bCs/>
          <w:sz w:val="20"/>
          <w:szCs w:val="20"/>
          <w:u w:val="single"/>
        </w:rPr>
        <w:t>SCHNELLLAUF-ROLLTOR</w:t>
      </w:r>
      <w:r w:rsidRPr="00452611">
        <w:rPr>
          <w:rFonts w:ascii="Arial" w:hAnsi="Arial" w:cs="Arial"/>
          <w:b/>
          <w:bCs/>
          <w:sz w:val="20"/>
          <w:szCs w:val="20"/>
        </w:rPr>
        <w:t>, Typ</w:t>
      </w:r>
      <w:r w:rsidRPr="00452611">
        <w:rPr>
          <w:rFonts w:ascii="Arial" w:hAnsi="Arial" w:cs="Arial"/>
          <w:sz w:val="20"/>
          <w:szCs w:val="20"/>
        </w:rPr>
        <w:t xml:space="preserve"> „</w:t>
      </w:r>
      <w:r w:rsidRPr="00452611">
        <w:rPr>
          <w:rFonts w:ascii="Arial" w:hAnsi="Arial" w:cs="Arial"/>
          <w:b/>
          <w:bCs/>
          <w:sz w:val="20"/>
          <w:szCs w:val="20"/>
        </w:rPr>
        <w:t>EFA-SRT® CR C“</w:t>
      </w:r>
    </w:p>
    <w:p w14:paraId="7C67906C" w14:textId="2C1C8C2D" w:rsidR="000F2DBD" w:rsidRPr="00452611" w:rsidRDefault="000F2DBD" w:rsidP="000F2DBD">
      <w:pPr>
        <w:autoSpaceDE w:val="0"/>
        <w:autoSpaceDN w:val="0"/>
        <w:adjustRightInd w:val="0"/>
        <w:spacing w:after="0" w:line="240" w:lineRule="auto"/>
        <w:jc w:val="both"/>
        <w:rPr>
          <w:rFonts w:ascii="Arial" w:hAnsi="Arial" w:cs="Arial"/>
          <w:b/>
          <w:bCs/>
          <w:sz w:val="20"/>
          <w:szCs w:val="20"/>
        </w:rPr>
      </w:pPr>
    </w:p>
    <w:p w14:paraId="5E3A6773" w14:textId="6FC91A9B" w:rsidR="000F2DBD" w:rsidRPr="00452611" w:rsidRDefault="000F2DBD" w:rsidP="00452611">
      <w:pPr>
        <w:autoSpaceDE w:val="0"/>
        <w:autoSpaceDN w:val="0"/>
        <w:adjustRightInd w:val="0"/>
        <w:spacing w:after="0" w:line="240" w:lineRule="auto"/>
        <w:jc w:val="both"/>
        <w:rPr>
          <w:rFonts w:ascii="Arial" w:hAnsi="Arial" w:cs="Arial"/>
          <w:sz w:val="20"/>
          <w:szCs w:val="20"/>
        </w:rPr>
      </w:pPr>
      <w:r w:rsidRPr="00452611">
        <w:rPr>
          <w:rFonts w:ascii="Arial" w:hAnsi="Arial" w:cs="Arial"/>
          <w:sz w:val="20"/>
          <w:szCs w:val="20"/>
        </w:rPr>
        <w:t>Herstellung; Lieferung und Montage von:</w:t>
      </w:r>
    </w:p>
    <w:p w14:paraId="102034FF" w14:textId="661D9BBB" w:rsidR="000F2DBD" w:rsidRPr="00452611" w:rsidRDefault="000F2DBD" w:rsidP="00452611">
      <w:pPr>
        <w:autoSpaceDE w:val="0"/>
        <w:autoSpaceDN w:val="0"/>
        <w:adjustRightInd w:val="0"/>
        <w:spacing w:after="0" w:line="240" w:lineRule="auto"/>
        <w:jc w:val="both"/>
        <w:rPr>
          <w:rFonts w:ascii="Arial" w:hAnsi="Arial" w:cs="Arial"/>
          <w:sz w:val="20"/>
          <w:szCs w:val="20"/>
        </w:rPr>
      </w:pPr>
    </w:p>
    <w:p w14:paraId="27CEDCCA" w14:textId="358C5A86" w:rsidR="00DA133C" w:rsidRPr="001C0DF8" w:rsidRDefault="00DA133C" w:rsidP="00452611">
      <w:pPr>
        <w:spacing w:after="0"/>
        <w:jc w:val="both"/>
        <w:rPr>
          <w:rFonts w:ascii="Arial" w:hAnsi="Arial"/>
          <w:sz w:val="20"/>
          <w:szCs w:val="20"/>
        </w:rPr>
      </w:pPr>
      <w:r w:rsidRPr="001C0DF8">
        <w:rPr>
          <w:rFonts w:ascii="Arial" w:hAnsi="Arial" w:cs="Arial"/>
          <w:sz w:val="20"/>
          <w:szCs w:val="20"/>
        </w:rPr>
        <w:t xml:space="preserve">Rolltores mit flexiblem Behang und </w:t>
      </w:r>
      <w:r w:rsidRPr="001C0DF8">
        <w:rPr>
          <w:rFonts w:ascii="Arial" w:hAnsi="Arial"/>
          <w:sz w:val="20"/>
          <w:szCs w:val="20"/>
        </w:rPr>
        <w:t>geringer Luftdurchlässigkeit</w:t>
      </w:r>
      <w:r w:rsidRPr="001C0DF8">
        <w:rPr>
          <w:rFonts w:ascii="Arial" w:hAnsi="Arial"/>
          <w:b/>
          <w:sz w:val="20"/>
          <w:szCs w:val="20"/>
        </w:rPr>
        <w:t xml:space="preserve"> </w:t>
      </w:r>
      <w:r w:rsidRPr="001C0DF8">
        <w:rPr>
          <w:rFonts w:ascii="Arial" w:hAnsi="Arial"/>
          <w:sz w:val="20"/>
          <w:szCs w:val="20"/>
        </w:rPr>
        <w:t>für den industriellen Dauereinsatz</w:t>
      </w:r>
      <w:r w:rsidR="00630AA6" w:rsidRPr="001C0DF8">
        <w:rPr>
          <w:rFonts w:ascii="Arial" w:hAnsi="Arial"/>
          <w:sz w:val="20"/>
          <w:szCs w:val="20"/>
        </w:rPr>
        <w:t xml:space="preserve"> </w:t>
      </w:r>
      <w:r w:rsidRPr="001C0DF8">
        <w:rPr>
          <w:rFonts w:ascii="Arial" w:hAnsi="Arial"/>
          <w:sz w:val="20"/>
          <w:szCs w:val="20"/>
        </w:rPr>
        <w:t>in Sauber- u. Reinräumen</w:t>
      </w:r>
      <w:r w:rsidRPr="001C0DF8">
        <w:rPr>
          <w:rFonts w:ascii="Arial" w:hAnsi="Arial"/>
          <w:b/>
          <w:sz w:val="20"/>
          <w:szCs w:val="20"/>
        </w:rPr>
        <w:t xml:space="preserve"> </w:t>
      </w:r>
      <w:r w:rsidRPr="001C0DF8">
        <w:rPr>
          <w:rFonts w:ascii="Arial" w:hAnsi="Arial"/>
          <w:sz w:val="20"/>
          <w:szCs w:val="20"/>
        </w:rPr>
        <w:t xml:space="preserve">mit </w:t>
      </w:r>
      <w:proofErr w:type="gramStart"/>
      <w:r w:rsidRPr="001C0DF8">
        <w:rPr>
          <w:rFonts w:ascii="Arial" w:hAnsi="Arial"/>
          <w:sz w:val="20"/>
          <w:szCs w:val="20"/>
        </w:rPr>
        <w:t>GMP Anforderungen</w:t>
      </w:r>
      <w:proofErr w:type="gramEnd"/>
      <w:r w:rsidRPr="001C0DF8">
        <w:rPr>
          <w:rFonts w:ascii="Arial" w:hAnsi="Arial"/>
          <w:b/>
          <w:sz w:val="20"/>
          <w:szCs w:val="20"/>
        </w:rPr>
        <w:t>.</w:t>
      </w:r>
      <w:r w:rsidRPr="001C0DF8">
        <w:rPr>
          <w:rFonts w:ascii="Arial" w:hAnsi="Arial" w:cs="Arial"/>
          <w:sz w:val="20"/>
          <w:szCs w:val="20"/>
        </w:rPr>
        <w:t xml:space="preserve"> </w:t>
      </w:r>
    </w:p>
    <w:p w14:paraId="18EC3764" w14:textId="3915C4BB" w:rsidR="00DA133C" w:rsidRPr="00452611" w:rsidRDefault="00DA133C" w:rsidP="00452611">
      <w:pPr>
        <w:autoSpaceDE w:val="0"/>
        <w:autoSpaceDN w:val="0"/>
        <w:adjustRightInd w:val="0"/>
        <w:spacing w:after="0" w:line="240" w:lineRule="auto"/>
        <w:jc w:val="both"/>
        <w:rPr>
          <w:rFonts w:ascii="Arial" w:hAnsi="Arial" w:cs="Arial"/>
          <w:sz w:val="20"/>
          <w:szCs w:val="20"/>
        </w:rPr>
      </w:pPr>
    </w:p>
    <w:p w14:paraId="336BFE09" w14:textId="77777777" w:rsidR="000F2DBD" w:rsidRPr="00452611" w:rsidRDefault="000F2DBD" w:rsidP="00452611">
      <w:pPr>
        <w:autoSpaceDE w:val="0"/>
        <w:autoSpaceDN w:val="0"/>
        <w:adjustRightInd w:val="0"/>
        <w:spacing w:after="0" w:line="240" w:lineRule="auto"/>
        <w:jc w:val="both"/>
        <w:rPr>
          <w:rFonts w:ascii="Arial" w:hAnsi="Arial" w:cs="Arial"/>
          <w:sz w:val="20"/>
          <w:szCs w:val="20"/>
        </w:rPr>
      </w:pPr>
      <w:r w:rsidRPr="00452611">
        <w:rPr>
          <w:rFonts w:ascii="Arial" w:hAnsi="Arial" w:cs="Arial"/>
          <w:sz w:val="20"/>
          <w:szCs w:val="20"/>
        </w:rPr>
        <w:t xml:space="preserve">Das </w:t>
      </w:r>
      <w:r w:rsidRPr="00452611">
        <w:rPr>
          <w:rFonts w:ascii="Arial" w:hAnsi="Arial" w:cs="Arial"/>
          <w:b/>
          <w:bCs/>
          <w:sz w:val="20"/>
          <w:szCs w:val="20"/>
        </w:rPr>
        <w:t xml:space="preserve">EFA-SRT® CR C </w:t>
      </w:r>
      <w:r w:rsidRPr="00452611">
        <w:rPr>
          <w:rFonts w:ascii="Arial" w:hAnsi="Arial" w:cs="Arial"/>
          <w:sz w:val="20"/>
          <w:szCs w:val="20"/>
        </w:rPr>
        <w:t xml:space="preserve">ist gemäß </w:t>
      </w:r>
      <w:r w:rsidRPr="00452611">
        <w:rPr>
          <w:rFonts w:ascii="Arial" w:hAnsi="Arial" w:cs="Arial"/>
          <w:b/>
          <w:bCs/>
          <w:sz w:val="20"/>
          <w:szCs w:val="20"/>
        </w:rPr>
        <w:t xml:space="preserve">"Prüfzertifikat zur Luftpartikelreinheit" </w:t>
      </w:r>
      <w:r w:rsidRPr="00452611">
        <w:rPr>
          <w:rFonts w:ascii="Arial" w:hAnsi="Arial" w:cs="Arial"/>
          <w:sz w:val="20"/>
          <w:szCs w:val="20"/>
        </w:rPr>
        <w:t xml:space="preserve">des TÜV SÜD tauglich für den Betrieb in </w:t>
      </w:r>
      <w:r w:rsidRPr="00452611">
        <w:rPr>
          <w:rFonts w:ascii="Arial" w:hAnsi="Arial" w:cs="Arial"/>
          <w:b/>
          <w:bCs/>
          <w:sz w:val="20"/>
          <w:szCs w:val="20"/>
        </w:rPr>
        <w:t xml:space="preserve">Reinräumen bis </w:t>
      </w:r>
      <w:proofErr w:type="gramStart"/>
      <w:r w:rsidRPr="00452611">
        <w:rPr>
          <w:rFonts w:ascii="Arial" w:hAnsi="Arial" w:cs="Arial"/>
          <w:b/>
          <w:bCs/>
          <w:sz w:val="20"/>
          <w:szCs w:val="20"/>
        </w:rPr>
        <w:t>ISO Klasse</w:t>
      </w:r>
      <w:proofErr w:type="gramEnd"/>
      <w:r w:rsidRPr="00452611">
        <w:rPr>
          <w:rFonts w:ascii="Arial" w:hAnsi="Arial" w:cs="Arial"/>
          <w:b/>
          <w:bCs/>
          <w:sz w:val="20"/>
          <w:szCs w:val="20"/>
        </w:rPr>
        <w:t xml:space="preserve"> 6 nach EN ISO 14644-1 für Partikelgrößen &gt;=0,1x10-6m</w:t>
      </w:r>
      <w:r w:rsidRPr="00452611">
        <w:rPr>
          <w:rFonts w:ascii="Arial" w:hAnsi="Arial" w:cs="Arial"/>
          <w:sz w:val="20"/>
          <w:szCs w:val="20"/>
        </w:rPr>
        <w:t xml:space="preserve">. Die </w:t>
      </w:r>
      <w:r w:rsidRPr="00452611">
        <w:rPr>
          <w:rFonts w:ascii="Arial" w:hAnsi="Arial" w:cs="Arial"/>
          <w:b/>
          <w:bCs/>
          <w:sz w:val="20"/>
          <w:szCs w:val="20"/>
        </w:rPr>
        <w:t>Steuerung ist</w:t>
      </w:r>
      <w:r w:rsidRPr="00452611">
        <w:rPr>
          <w:rFonts w:ascii="Arial" w:hAnsi="Arial" w:cs="Arial"/>
          <w:sz w:val="20"/>
          <w:szCs w:val="20"/>
        </w:rPr>
        <w:t xml:space="preserve"> </w:t>
      </w:r>
      <w:r w:rsidRPr="00452611">
        <w:rPr>
          <w:rFonts w:ascii="Arial" w:hAnsi="Arial" w:cs="Arial"/>
          <w:b/>
          <w:bCs/>
          <w:sz w:val="20"/>
          <w:szCs w:val="20"/>
        </w:rPr>
        <w:t xml:space="preserve">hinter der Abdeckung </w:t>
      </w:r>
      <w:r w:rsidRPr="00452611">
        <w:rPr>
          <w:rFonts w:ascii="Arial" w:hAnsi="Arial" w:cs="Arial"/>
          <w:sz w:val="20"/>
          <w:szCs w:val="20"/>
        </w:rPr>
        <w:t xml:space="preserve">an der Wickelwelle angebracht, so dass </w:t>
      </w:r>
      <w:r w:rsidRPr="00452611">
        <w:rPr>
          <w:rFonts w:ascii="Arial" w:hAnsi="Arial" w:cs="Arial"/>
          <w:b/>
          <w:bCs/>
          <w:sz w:val="20"/>
          <w:szCs w:val="20"/>
        </w:rPr>
        <w:t xml:space="preserve">kein externer Schaltschrank </w:t>
      </w:r>
      <w:r w:rsidRPr="00452611">
        <w:rPr>
          <w:rFonts w:ascii="Arial" w:hAnsi="Arial" w:cs="Arial"/>
          <w:sz w:val="20"/>
          <w:szCs w:val="20"/>
        </w:rPr>
        <w:t xml:space="preserve">benötigt wird. An der Zarge befinden sich die Bedienungselemente der Toranlage sowie ein Hebel zur Auslösung des Notentriegelungsmechanismus mittels Zugfedern. Die Toranlage verfügt über eine </w:t>
      </w:r>
      <w:r w:rsidRPr="00452611">
        <w:rPr>
          <w:rFonts w:ascii="Arial" w:hAnsi="Arial" w:cs="Arial"/>
          <w:b/>
          <w:bCs/>
          <w:sz w:val="20"/>
          <w:szCs w:val="20"/>
        </w:rPr>
        <w:t>gute Luftdichtigkeit (bis zu</w:t>
      </w:r>
      <w:r w:rsidRPr="00452611">
        <w:rPr>
          <w:rFonts w:ascii="Arial" w:hAnsi="Arial" w:cs="Arial"/>
          <w:sz w:val="20"/>
          <w:szCs w:val="20"/>
        </w:rPr>
        <w:t xml:space="preserve"> </w:t>
      </w:r>
      <w:r w:rsidRPr="00452611">
        <w:rPr>
          <w:rFonts w:ascii="Arial" w:hAnsi="Arial" w:cs="Arial"/>
          <w:b/>
          <w:bCs/>
          <w:sz w:val="20"/>
          <w:szCs w:val="20"/>
        </w:rPr>
        <w:t xml:space="preserve">50 m3/h abhängig von </w:t>
      </w:r>
      <w:proofErr w:type="spellStart"/>
      <w:r w:rsidRPr="00452611">
        <w:rPr>
          <w:rFonts w:ascii="Arial" w:hAnsi="Arial" w:cs="Arial"/>
          <w:b/>
          <w:bCs/>
          <w:sz w:val="20"/>
          <w:szCs w:val="20"/>
        </w:rPr>
        <w:t>Torgröße</w:t>
      </w:r>
      <w:proofErr w:type="spellEnd"/>
      <w:r w:rsidRPr="00452611">
        <w:rPr>
          <w:rFonts w:ascii="Arial" w:hAnsi="Arial" w:cs="Arial"/>
          <w:b/>
          <w:bCs/>
          <w:sz w:val="20"/>
          <w:szCs w:val="20"/>
        </w:rPr>
        <w:t xml:space="preserve"> und Montageseite) </w:t>
      </w:r>
      <w:r w:rsidRPr="00452611">
        <w:rPr>
          <w:rFonts w:ascii="Arial" w:hAnsi="Arial" w:cs="Arial"/>
          <w:sz w:val="20"/>
          <w:szCs w:val="20"/>
        </w:rPr>
        <w:t xml:space="preserve">bei einer </w:t>
      </w:r>
      <w:r w:rsidRPr="00452611">
        <w:rPr>
          <w:rFonts w:ascii="Arial" w:hAnsi="Arial" w:cs="Arial"/>
          <w:b/>
          <w:bCs/>
          <w:sz w:val="20"/>
          <w:szCs w:val="20"/>
        </w:rPr>
        <w:t xml:space="preserve">Druckbelastbarkeit bis 30 </w:t>
      </w:r>
      <w:proofErr w:type="spellStart"/>
      <w:r w:rsidRPr="00452611">
        <w:rPr>
          <w:rFonts w:ascii="Arial" w:hAnsi="Arial" w:cs="Arial"/>
          <w:b/>
          <w:bCs/>
          <w:sz w:val="20"/>
          <w:szCs w:val="20"/>
        </w:rPr>
        <w:t>Pa</w:t>
      </w:r>
      <w:proofErr w:type="spellEnd"/>
      <w:r w:rsidRPr="00452611">
        <w:rPr>
          <w:rFonts w:ascii="Arial" w:hAnsi="Arial" w:cs="Arial"/>
          <w:sz w:val="20"/>
          <w:szCs w:val="20"/>
        </w:rPr>
        <w:t>. Die schmalen Zargen erlauben einen platzsparenden Einbau auch unter beengten Raumverhältnissen. Durch einen integrierten Absolutwertgeber kann das Tor auch nach Stromausfall sofort wieder in den Automatikbetrieb gehen, ohne die Notwendigkeit einer manuellen Synchronisationsfahrt.</w:t>
      </w:r>
    </w:p>
    <w:p w14:paraId="26332352" w14:textId="318967C1" w:rsidR="000F2DBD" w:rsidRPr="00452611" w:rsidRDefault="000F2DBD" w:rsidP="000F2DBD">
      <w:pPr>
        <w:autoSpaceDE w:val="0"/>
        <w:autoSpaceDN w:val="0"/>
        <w:adjustRightInd w:val="0"/>
        <w:spacing w:after="0" w:line="240" w:lineRule="auto"/>
        <w:jc w:val="both"/>
        <w:rPr>
          <w:rFonts w:ascii="Arial" w:hAnsi="Arial" w:cs="Arial"/>
          <w:sz w:val="20"/>
          <w:szCs w:val="20"/>
        </w:rPr>
      </w:pPr>
    </w:p>
    <w:p w14:paraId="0D9EEAAB" w14:textId="69127AD8" w:rsidR="00DA133C" w:rsidRPr="001C0DF8" w:rsidRDefault="00DA133C" w:rsidP="00452611">
      <w:pPr>
        <w:autoSpaceDE w:val="0"/>
        <w:autoSpaceDN w:val="0"/>
        <w:adjustRightInd w:val="0"/>
        <w:spacing w:after="0"/>
        <w:jc w:val="both"/>
        <w:rPr>
          <w:rFonts w:ascii="Arial" w:hAnsi="Arial" w:cs="Arial"/>
          <w:sz w:val="20"/>
          <w:szCs w:val="20"/>
        </w:rPr>
      </w:pPr>
      <w:r w:rsidRPr="001C0DF8">
        <w:rPr>
          <w:rFonts w:ascii="Arial" w:hAnsi="Arial" w:cs="Arial"/>
          <w:sz w:val="20"/>
          <w:szCs w:val="20"/>
        </w:rPr>
        <w:t xml:space="preserve">Alle </w:t>
      </w:r>
      <w:r w:rsidRPr="001C0DF8">
        <w:rPr>
          <w:rFonts w:ascii="Arial" w:hAnsi="Arial" w:cs="Arial"/>
          <w:b/>
          <w:sz w:val="20"/>
          <w:szCs w:val="20"/>
        </w:rPr>
        <w:t>sichtbaren Teile</w:t>
      </w:r>
      <w:r w:rsidRPr="001C0DF8">
        <w:rPr>
          <w:rFonts w:ascii="Arial" w:hAnsi="Arial" w:cs="Arial"/>
          <w:sz w:val="20"/>
          <w:szCs w:val="20"/>
        </w:rPr>
        <w:t xml:space="preserve"> der selbst tragenden, in sich geschlossenen </w:t>
      </w:r>
      <w:r w:rsidRPr="001C0DF8">
        <w:rPr>
          <w:rFonts w:ascii="Arial" w:hAnsi="Arial" w:cs="Arial"/>
          <w:bCs/>
          <w:sz w:val="20"/>
          <w:szCs w:val="20"/>
        </w:rPr>
        <w:t xml:space="preserve">Torkonstruktion sind in </w:t>
      </w:r>
      <w:r w:rsidRPr="001C0DF8">
        <w:rPr>
          <w:rFonts w:ascii="Arial" w:hAnsi="Arial" w:cs="Arial"/>
          <w:b/>
          <w:bCs/>
          <w:sz w:val="20"/>
          <w:szCs w:val="20"/>
        </w:rPr>
        <w:t>Edelstahl V2A</w:t>
      </w:r>
      <w:r w:rsidRPr="001C0DF8">
        <w:rPr>
          <w:rFonts w:ascii="Arial" w:hAnsi="Arial" w:cs="Arial"/>
          <w:bCs/>
          <w:sz w:val="20"/>
          <w:szCs w:val="20"/>
        </w:rPr>
        <w:t xml:space="preserve"> </w:t>
      </w:r>
      <w:r w:rsidRPr="001C0DF8">
        <w:rPr>
          <w:rFonts w:ascii="Arial" w:hAnsi="Arial" w:cs="Arial"/>
          <w:sz w:val="20"/>
          <w:szCs w:val="20"/>
        </w:rPr>
        <w:t>ausgeführt. Die Konstruktion ist weitestgehend schraublos miteinander verbunden und sämtliche Oberflächen sind zur Vermeidung von Partikelablagerungen senkrecht oder schräg ausgeführt.</w:t>
      </w:r>
    </w:p>
    <w:p w14:paraId="04FF951A" w14:textId="77777777" w:rsidR="00452611" w:rsidRPr="001C0DF8" w:rsidRDefault="00452611" w:rsidP="00452611">
      <w:pPr>
        <w:autoSpaceDE w:val="0"/>
        <w:autoSpaceDN w:val="0"/>
        <w:adjustRightInd w:val="0"/>
        <w:spacing w:after="0" w:line="240" w:lineRule="auto"/>
        <w:jc w:val="both"/>
        <w:rPr>
          <w:rFonts w:ascii="Arial" w:hAnsi="Arial" w:cs="Arial"/>
          <w:sz w:val="20"/>
          <w:szCs w:val="20"/>
        </w:rPr>
      </w:pPr>
    </w:p>
    <w:p w14:paraId="2F0B9990" w14:textId="368FD71B" w:rsidR="00452611" w:rsidRPr="001C0DF8" w:rsidRDefault="00452611" w:rsidP="00452611">
      <w:pPr>
        <w:autoSpaceDE w:val="0"/>
        <w:autoSpaceDN w:val="0"/>
        <w:adjustRightInd w:val="0"/>
        <w:spacing w:after="0"/>
        <w:jc w:val="both"/>
        <w:rPr>
          <w:rFonts w:ascii="Arial" w:hAnsi="Arial" w:cs="Arial"/>
          <w:sz w:val="20"/>
          <w:szCs w:val="20"/>
        </w:rPr>
      </w:pPr>
      <w:r w:rsidRPr="001C0DF8">
        <w:rPr>
          <w:rFonts w:ascii="Arial" w:hAnsi="Arial" w:cs="Arial"/>
          <w:sz w:val="20"/>
          <w:szCs w:val="20"/>
        </w:rPr>
        <w:t xml:space="preserve">Das </w:t>
      </w:r>
      <w:r w:rsidRPr="001C0DF8">
        <w:rPr>
          <w:rFonts w:ascii="Arial" w:hAnsi="Arial" w:cs="Arial"/>
          <w:b/>
          <w:bCs/>
          <w:sz w:val="20"/>
          <w:szCs w:val="20"/>
        </w:rPr>
        <w:t xml:space="preserve">Torblatt </w:t>
      </w:r>
      <w:r w:rsidRPr="001C0DF8">
        <w:rPr>
          <w:rFonts w:ascii="Arial" w:hAnsi="Arial" w:cs="Arial"/>
          <w:sz w:val="20"/>
          <w:szCs w:val="20"/>
        </w:rPr>
        <w:t>besteht aus 2 mm starkem, PVC beschichtetem flexiblen Polyestergewebe (FDA-konform, antistatisch), welches auf einer horizontal gelagerten Welle (ebenfalls aus Edelstahl) aufgewickelt wird. Farbe: papyrusweiß ähnlich RAL 9018, lichtgrau ähnlich RAL 7035, signalgrau ähnlich RAL 7004, reinweiß ähnlich RAL 9010.</w:t>
      </w:r>
    </w:p>
    <w:p w14:paraId="6B0EE6AD" w14:textId="77777777" w:rsidR="00452611" w:rsidRPr="001C0DF8" w:rsidRDefault="00452611" w:rsidP="00452611">
      <w:pPr>
        <w:autoSpaceDE w:val="0"/>
        <w:autoSpaceDN w:val="0"/>
        <w:adjustRightInd w:val="0"/>
        <w:spacing w:after="0"/>
        <w:jc w:val="both"/>
        <w:rPr>
          <w:rFonts w:ascii="Arial" w:hAnsi="Arial" w:cs="Arial"/>
          <w:sz w:val="20"/>
          <w:szCs w:val="20"/>
        </w:rPr>
      </w:pPr>
      <w:r w:rsidRPr="001C0DF8">
        <w:rPr>
          <w:rFonts w:ascii="Arial" w:hAnsi="Arial" w:cs="Arial"/>
          <w:sz w:val="20"/>
          <w:szCs w:val="20"/>
        </w:rPr>
        <w:t>Die typisch hohe Dichtigkeit wird erreicht, indem der Behang seitlich und im Sturzbereich bei Über- bzw. Unterdruck flächig an Edelstahlprofile gepresst wird.</w:t>
      </w:r>
    </w:p>
    <w:p w14:paraId="7F5E2F73" w14:textId="249D4A82" w:rsidR="00DA133C" w:rsidRPr="00452611" w:rsidRDefault="00DA133C" w:rsidP="00452611">
      <w:pPr>
        <w:autoSpaceDE w:val="0"/>
        <w:autoSpaceDN w:val="0"/>
        <w:adjustRightInd w:val="0"/>
        <w:spacing w:after="0" w:line="240" w:lineRule="auto"/>
        <w:jc w:val="both"/>
        <w:rPr>
          <w:rFonts w:ascii="Arial" w:hAnsi="Arial" w:cs="Arial"/>
          <w:color w:val="FF0000"/>
          <w:sz w:val="20"/>
          <w:szCs w:val="20"/>
        </w:rPr>
      </w:pPr>
    </w:p>
    <w:p w14:paraId="50F5CF8B" w14:textId="77777777" w:rsidR="000F2DBD" w:rsidRPr="00452611" w:rsidRDefault="000F2DBD" w:rsidP="00452611">
      <w:pPr>
        <w:autoSpaceDE w:val="0"/>
        <w:autoSpaceDN w:val="0"/>
        <w:adjustRightInd w:val="0"/>
        <w:spacing w:after="0" w:line="240" w:lineRule="auto"/>
        <w:jc w:val="both"/>
        <w:rPr>
          <w:rFonts w:ascii="Arial" w:hAnsi="Arial" w:cs="Arial"/>
          <w:sz w:val="20"/>
          <w:szCs w:val="20"/>
        </w:rPr>
      </w:pPr>
      <w:r w:rsidRPr="00452611">
        <w:rPr>
          <w:rFonts w:ascii="Arial" w:hAnsi="Arial" w:cs="Arial"/>
          <w:sz w:val="20"/>
          <w:szCs w:val="20"/>
        </w:rPr>
        <w:t xml:space="preserve">Das </w:t>
      </w:r>
      <w:r w:rsidRPr="00452611">
        <w:rPr>
          <w:rFonts w:ascii="Arial" w:hAnsi="Arial" w:cs="Arial"/>
          <w:b/>
          <w:bCs/>
          <w:sz w:val="20"/>
          <w:szCs w:val="20"/>
        </w:rPr>
        <w:t>serienmäßige, TÜV-geprüfte Torlinien-Lichtgitter</w:t>
      </w:r>
      <w:r w:rsidRPr="00452611">
        <w:rPr>
          <w:rFonts w:ascii="Arial" w:hAnsi="Arial" w:cs="Arial"/>
          <w:sz w:val="20"/>
          <w:szCs w:val="20"/>
        </w:rPr>
        <w:t xml:space="preserve"> </w:t>
      </w:r>
      <w:r w:rsidRPr="00452611">
        <w:rPr>
          <w:rFonts w:ascii="Arial" w:hAnsi="Arial" w:cs="Arial"/>
          <w:b/>
          <w:bCs/>
          <w:sz w:val="20"/>
          <w:szCs w:val="20"/>
        </w:rPr>
        <w:t xml:space="preserve">EFA-TLG® </w:t>
      </w:r>
      <w:r w:rsidRPr="00452611">
        <w:rPr>
          <w:rFonts w:ascii="Arial" w:hAnsi="Arial" w:cs="Arial"/>
          <w:sz w:val="20"/>
          <w:szCs w:val="20"/>
        </w:rPr>
        <w:t xml:space="preserve">bietet ein Höchstmaß an </w:t>
      </w:r>
      <w:r w:rsidRPr="00452611">
        <w:rPr>
          <w:rFonts w:ascii="Arial" w:hAnsi="Arial" w:cs="Arial"/>
          <w:b/>
          <w:bCs/>
          <w:sz w:val="20"/>
          <w:szCs w:val="20"/>
        </w:rPr>
        <w:t>aktiver und passiver Sicherheit</w:t>
      </w:r>
      <w:r w:rsidRPr="00452611">
        <w:rPr>
          <w:rFonts w:ascii="Arial" w:hAnsi="Arial" w:cs="Arial"/>
          <w:sz w:val="20"/>
          <w:szCs w:val="20"/>
        </w:rPr>
        <w:t>.</w:t>
      </w:r>
    </w:p>
    <w:p w14:paraId="73414EC3" w14:textId="77777777" w:rsidR="000F2DBD" w:rsidRPr="00452611" w:rsidRDefault="000F2DBD" w:rsidP="000F2DBD">
      <w:pPr>
        <w:autoSpaceDE w:val="0"/>
        <w:autoSpaceDN w:val="0"/>
        <w:adjustRightInd w:val="0"/>
        <w:spacing w:after="0" w:line="240" w:lineRule="auto"/>
        <w:jc w:val="both"/>
        <w:rPr>
          <w:rFonts w:ascii="Arial" w:hAnsi="Arial" w:cs="Arial"/>
          <w:sz w:val="20"/>
          <w:szCs w:val="20"/>
        </w:rPr>
      </w:pPr>
    </w:p>
    <w:p w14:paraId="286908ED" w14:textId="24788AA1" w:rsidR="00EE052E" w:rsidRPr="00452611" w:rsidRDefault="000F2DBD" w:rsidP="000F2DBD">
      <w:pPr>
        <w:autoSpaceDE w:val="0"/>
        <w:autoSpaceDN w:val="0"/>
        <w:adjustRightInd w:val="0"/>
        <w:spacing w:after="0" w:line="240" w:lineRule="auto"/>
        <w:jc w:val="both"/>
        <w:rPr>
          <w:rFonts w:ascii="Arial" w:hAnsi="Arial" w:cs="Arial"/>
          <w:sz w:val="20"/>
          <w:szCs w:val="20"/>
        </w:rPr>
      </w:pPr>
      <w:r w:rsidRPr="00452611">
        <w:rPr>
          <w:rFonts w:ascii="Arial" w:hAnsi="Arial" w:cs="Arial"/>
          <w:sz w:val="20"/>
          <w:szCs w:val="20"/>
        </w:rPr>
        <w:t>Im Standard wird die Toranlage mit einer 15°-Abdeckung ausgeführt.</w:t>
      </w:r>
    </w:p>
    <w:p w14:paraId="3F6AF73D" w14:textId="059BB435" w:rsidR="000F2DBD" w:rsidRPr="00452611" w:rsidRDefault="000F2DBD" w:rsidP="000F2DBD">
      <w:pPr>
        <w:autoSpaceDE w:val="0"/>
        <w:autoSpaceDN w:val="0"/>
        <w:adjustRightInd w:val="0"/>
        <w:spacing w:after="0" w:line="240" w:lineRule="auto"/>
        <w:jc w:val="both"/>
        <w:rPr>
          <w:rFonts w:ascii="Arial" w:hAnsi="Arial" w:cs="Arial"/>
          <w:sz w:val="20"/>
          <w:szCs w:val="20"/>
        </w:rPr>
      </w:pPr>
    </w:p>
    <w:p w14:paraId="0C606BF1" w14:textId="77777777" w:rsidR="0029774D" w:rsidRPr="001C0DF8" w:rsidRDefault="000F2DBD" w:rsidP="000F2DBD">
      <w:pPr>
        <w:autoSpaceDE w:val="0"/>
        <w:autoSpaceDN w:val="0"/>
        <w:adjustRightInd w:val="0"/>
        <w:spacing w:after="0" w:line="240" w:lineRule="auto"/>
        <w:jc w:val="both"/>
        <w:rPr>
          <w:rFonts w:ascii="Arial" w:hAnsi="Arial" w:cs="Arial"/>
          <w:b/>
          <w:bCs/>
          <w:sz w:val="20"/>
          <w:szCs w:val="20"/>
        </w:rPr>
      </w:pPr>
      <w:r w:rsidRPr="001C0DF8">
        <w:rPr>
          <w:rFonts w:ascii="Arial" w:hAnsi="Arial" w:cs="Arial"/>
          <w:b/>
          <w:bCs/>
          <w:sz w:val="20"/>
          <w:szCs w:val="20"/>
        </w:rPr>
        <w:t>Luftdurchlässigkeit:</w:t>
      </w:r>
    </w:p>
    <w:p w14:paraId="2A1354E0" w14:textId="33BC1909" w:rsidR="000F2DBD" w:rsidRPr="001C0DF8" w:rsidRDefault="000F2DBD" w:rsidP="000F2DBD">
      <w:pPr>
        <w:autoSpaceDE w:val="0"/>
        <w:autoSpaceDN w:val="0"/>
        <w:adjustRightInd w:val="0"/>
        <w:spacing w:after="0" w:line="240" w:lineRule="auto"/>
        <w:jc w:val="both"/>
        <w:rPr>
          <w:rFonts w:ascii="Arial" w:hAnsi="Arial" w:cs="Arial"/>
          <w:sz w:val="20"/>
          <w:szCs w:val="20"/>
        </w:rPr>
      </w:pPr>
      <w:r w:rsidRPr="001C0DF8">
        <w:rPr>
          <w:rFonts w:ascii="Arial" w:hAnsi="Arial" w:cs="Arial"/>
          <w:sz w:val="20"/>
          <w:szCs w:val="20"/>
        </w:rPr>
        <w:t>Montage auf Überdruckseite &lt; 20 m³/m²h</w:t>
      </w:r>
    </w:p>
    <w:p w14:paraId="42ABCBA0" w14:textId="77777777" w:rsidR="000F2DBD" w:rsidRPr="001C0DF8" w:rsidRDefault="000F2DBD" w:rsidP="000F2DBD">
      <w:pPr>
        <w:autoSpaceDE w:val="0"/>
        <w:autoSpaceDN w:val="0"/>
        <w:adjustRightInd w:val="0"/>
        <w:spacing w:after="0" w:line="240" w:lineRule="auto"/>
        <w:jc w:val="both"/>
        <w:rPr>
          <w:rFonts w:ascii="Arial" w:hAnsi="Arial" w:cs="Arial"/>
          <w:sz w:val="20"/>
          <w:szCs w:val="20"/>
        </w:rPr>
      </w:pPr>
      <w:r w:rsidRPr="001C0DF8">
        <w:rPr>
          <w:rFonts w:ascii="Arial" w:hAnsi="Arial" w:cs="Arial"/>
          <w:sz w:val="20"/>
          <w:szCs w:val="20"/>
        </w:rPr>
        <w:t>Montage auf Unterdruckseite &lt; 50 m³/m²h</w:t>
      </w:r>
    </w:p>
    <w:p w14:paraId="53AF8015" w14:textId="52194A21" w:rsidR="000F2DBD" w:rsidRPr="001C0DF8" w:rsidRDefault="000F2DBD" w:rsidP="000F2DBD">
      <w:pPr>
        <w:autoSpaceDE w:val="0"/>
        <w:autoSpaceDN w:val="0"/>
        <w:adjustRightInd w:val="0"/>
        <w:spacing w:after="0" w:line="240" w:lineRule="auto"/>
        <w:jc w:val="both"/>
        <w:rPr>
          <w:rFonts w:ascii="Arial" w:hAnsi="Arial" w:cs="Arial"/>
          <w:sz w:val="20"/>
          <w:szCs w:val="20"/>
        </w:rPr>
      </w:pPr>
      <w:r w:rsidRPr="001C0DF8">
        <w:rPr>
          <w:rFonts w:ascii="Arial" w:hAnsi="Arial" w:cs="Arial"/>
          <w:sz w:val="20"/>
          <w:szCs w:val="20"/>
        </w:rPr>
        <w:t xml:space="preserve">Druckbelastbarkeit bis 30 </w:t>
      </w:r>
      <w:proofErr w:type="spellStart"/>
      <w:r w:rsidRPr="001C0DF8">
        <w:rPr>
          <w:rFonts w:ascii="Arial" w:hAnsi="Arial" w:cs="Arial"/>
          <w:sz w:val="20"/>
          <w:szCs w:val="20"/>
        </w:rPr>
        <w:t>Pa</w:t>
      </w:r>
      <w:proofErr w:type="spellEnd"/>
    </w:p>
    <w:p w14:paraId="415D0EF3" w14:textId="71730B5E" w:rsidR="000F2DBD" w:rsidRPr="001C0DF8" w:rsidRDefault="000F2DBD" w:rsidP="000F2DBD">
      <w:pPr>
        <w:autoSpaceDE w:val="0"/>
        <w:autoSpaceDN w:val="0"/>
        <w:adjustRightInd w:val="0"/>
        <w:spacing w:after="0" w:line="240" w:lineRule="auto"/>
        <w:jc w:val="both"/>
        <w:rPr>
          <w:rFonts w:ascii="Arial" w:hAnsi="Arial" w:cs="Arial"/>
          <w:sz w:val="20"/>
          <w:szCs w:val="20"/>
        </w:rPr>
      </w:pPr>
    </w:p>
    <w:p w14:paraId="6587FB93" w14:textId="7969CE15" w:rsidR="00EC4197" w:rsidRPr="001C0DF8" w:rsidRDefault="00EC4197" w:rsidP="000F2DBD">
      <w:pPr>
        <w:autoSpaceDE w:val="0"/>
        <w:autoSpaceDN w:val="0"/>
        <w:adjustRightInd w:val="0"/>
        <w:spacing w:after="0" w:line="240" w:lineRule="auto"/>
        <w:jc w:val="both"/>
        <w:rPr>
          <w:rFonts w:ascii="Arial" w:hAnsi="Arial" w:cs="Arial"/>
          <w:b/>
          <w:bCs/>
          <w:sz w:val="20"/>
          <w:szCs w:val="20"/>
        </w:rPr>
      </w:pPr>
      <w:r w:rsidRPr="001C0DF8">
        <w:rPr>
          <w:rFonts w:ascii="Arial" w:hAnsi="Arial" w:cs="Arial"/>
          <w:b/>
          <w:bCs/>
          <w:sz w:val="20"/>
          <w:szCs w:val="20"/>
        </w:rPr>
        <w:t xml:space="preserve">Torausführung </w:t>
      </w:r>
      <w:r w:rsidR="00222B5C" w:rsidRPr="001C0DF8">
        <w:rPr>
          <w:rFonts w:ascii="Arial" w:hAnsi="Arial" w:cs="Arial"/>
          <w:b/>
          <w:bCs/>
          <w:sz w:val="20"/>
          <w:szCs w:val="20"/>
        </w:rPr>
        <w:t xml:space="preserve">nach ISO-Klasse 14644-1 </w:t>
      </w:r>
      <w:r w:rsidR="00EF13B3" w:rsidRPr="001C0DF8">
        <w:rPr>
          <w:rFonts w:ascii="Arial" w:hAnsi="Arial" w:cs="Arial"/>
          <w:b/>
          <w:bCs/>
          <w:sz w:val="20"/>
          <w:szCs w:val="20"/>
        </w:rPr>
        <w:t xml:space="preserve">und VDI 2083 Blatt 9.1 </w:t>
      </w:r>
      <w:r w:rsidRPr="001C0DF8">
        <w:rPr>
          <w:rFonts w:ascii="Arial" w:hAnsi="Arial" w:cs="Arial"/>
          <w:b/>
          <w:bCs/>
          <w:sz w:val="20"/>
          <w:szCs w:val="20"/>
        </w:rPr>
        <w:t>wahlweise:</w:t>
      </w:r>
    </w:p>
    <w:p w14:paraId="06FB5806" w14:textId="6A8E9483" w:rsidR="00EC4197" w:rsidRPr="001C0DF8" w:rsidRDefault="00EC4197" w:rsidP="000F2DBD">
      <w:pPr>
        <w:autoSpaceDE w:val="0"/>
        <w:autoSpaceDN w:val="0"/>
        <w:adjustRightInd w:val="0"/>
        <w:spacing w:after="0" w:line="240" w:lineRule="auto"/>
        <w:jc w:val="both"/>
        <w:rPr>
          <w:rFonts w:ascii="Arial" w:hAnsi="Arial" w:cs="Arial"/>
          <w:sz w:val="20"/>
          <w:szCs w:val="20"/>
        </w:rPr>
      </w:pPr>
      <w:r w:rsidRPr="001C0DF8">
        <w:rPr>
          <w:rFonts w:ascii="Arial" w:hAnsi="Arial" w:cs="Arial"/>
          <w:sz w:val="20"/>
          <w:szCs w:val="20"/>
        </w:rPr>
        <w:t>ISO-Klasse 6: Steuerung in Abdeckung integriert</w:t>
      </w:r>
    </w:p>
    <w:p w14:paraId="7AE45022" w14:textId="471E1CA7" w:rsidR="00EC4197" w:rsidRPr="001C0DF8" w:rsidRDefault="00EC4197" w:rsidP="000F2DBD">
      <w:pPr>
        <w:autoSpaceDE w:val="0"/>
        <w:autoSpaceDN w:val="0"/>
        <w:adjustRightInd w:val="0"/>
        <w:spacing w:after="0" w:line="240" w:lineRule="auto"/>
        <w:jc w:val="both"/>
        <w:rPr>
          <w:rFonts w:ascii="Arial" w:hAnsi="Arial" w:cs="Arial"/>
          <w:sz w:val="20"/>
          <w:szCs w:val="20"/>
        </w:rPr>
      </w:pPr>
      <w:r w:rsidRPr="001C0DF8">
        <w:rPr>
          <w:rFonts w:ascii="Arial" w:hAnsi="Arial" w:cs="Arial"/>
          <w:sz w:val="20"/>
          <w:szCs w:val="20"/>
        </w:rPr>
        <w:t>ISO-Klasse 7: Steuerung extern (wahlweise in Ku</w:t>
      </w:r>
      <w:r w:rsidR="00EF13B3" w:rsidRPr="001C0DF8">
        <w:rPr>
          <w:rFonts w:ascii="Arial" w:hAnsi="Arial" w:cs="Arial"/>
          <w:sz w:val="20"/>
          <w:szCs w:val="20"/>
        </w:rPr>
        <w:t>nst</w:t>
      </w:r>
      <w:r w:rsidRPr="001C0DF8">
        <w:rPr>
          <w:rFonts w:ascii="Arial" w:hAnsi="Arial" w:cs="Arial"/>
          <w:sz w:val="20"/>
          <w:szCs w:val="20"/>
        </w:rPr>
        <w:t>stoff oder Stahlgehäuse)</w:t>
      </w:r>
    </w:p>
    <w:p w14:paraId="08CE42FC" w14:textId="38464536" w:rsidR="00EC4197" w:rsidRPr="001C0DF8" w:rsidRDefault="00EC4197" w:rsidP="000F2DBD">
      <w:pPr>
        <w:autoSpaceDE w:val="0"/>
        <w:autoSpaceDN w:val="0"/>
        <w:adjustRightInd w:val="0"/>
        <w:spacing w:after="0" w:line="240" w:lineRule="auto"/>
        <w:jc w:val="both"/>
        <w:rPr>
          <w:rFonts w:ascii="Arial" w:hAnsi="Arial" w:cs="Arial"/>
          <w:sz w:val="20"/>
          <w:szCs w:val="20"/>
        </w:rPr>
      </w:pPr>
    </w:p>
    <w:p w14:paraId="55D2850B" w14:textId="77777777" w:rsidR="00A95627" w:rsidRPr="001C0DF8" w:rsidRDefault="00A95627" w:rsidP="000F2DBD">
      <w:pPr>
        <w:autoSpaceDE w:val="0"/>
        <w:autoSpaceDN w:val="0"/>
        <w:adjustRightInd w:val="0"/>
        <w:spacing w:after="0" w:line="240" w:lineRule="auto"/>
        <w:jc w:val="both"/>
        <w:rPr>
          <w:rFonts w:ascii="Arial" w:hAnsi="Arial"/>
          <w:b/>
          <w:bCs/>
          <w:sz w:val="20"/>
          <w:szCs w:val="20"/>
        </w:rPr>
      </w:pPr>
      <w:r w:rsidRPr="001C0DF8">
        <w:rPr>
          <w:rFonts w:ascii="Arial" w:hAnsi="Arial"/>
          <w:b/>
          <w:bCs/>
          <w:sz w:val="20"/>
          <w:szCs w:val="20"/>
        </w:rPr>
        <w:t>Performance:</w:t>
      </w:r>
    </w:p>
    <w:p w14:paraId="7AD9F929" w14:textId="6EEE82F2" w:rsidR="00630AA6" w:rsidRPr="001C0DF8" w:rsidRDefault="00DB3CFB" w:rsidP="000F2DBD">
      <w:pPr>
        <w:autoSpaceDE w:val="0"/>
        <w:autoSpaceDN w:val="0"/>
        <w:adjustRightInd w:val="0"/>
        <w:spacing w:after="0" w:line="240" w:lineRule="auto"/>
        <w:jc w:val="both"/>
        <w:rPr>
          <w:rFonts w:ascii="Arial" w:hAnsi="Arial" w:cs="Arial"/>
          <w:sz w:val="20"/>
          <w:szCs w:val="20"/>
        </w:rPr>
      </w:pPr>
      <w:r w:rsidRPr="001C0DF8">
        <w:rPr>
          <w:rFonts w:ascii="Arial" w:hAnsi="Arial"/>
          <w:sz w:val="20"/>
          <w:szCs w:val="20"/>
        </w:rPr>
        <w:t>B</w:t>
      </w:r>
      <w:r w:rsidR="00630AA6" w:rsidRPr="001C0DF8">
        <w:rPr>
          <w:rFonts w:ascii="Arial" w:hAnsi="Arial"/>
          <w:sz w:val="20"/>
          <w:szCs w:val="20"/>
        </w:rPr>
        <w:t>is zu 200.000. Lastwechsel pro Jahr</w:t>
      </w:r>
      <w:r w:rsidR="00A95627" w:rsidRPr="001C0DF8">
        <w:rPr>
          <w:rFonts w:ascii="Arial" w:hAnsi="Arial"/>
          <w:sz w:val="20"/>
          <w:szCs w:val="20"/>
        </w:rPr>
        <w:t xml:space="preserve"> bei einem </w:t>
      </w:r>
      <w:r w:rsidRPr="001C0DF8">
        <w:rPr>
          <w:rFonts w:ascii="Arial" w:hAnsi="Arial"/>
          <w:sz w:val="20"/>
          <w:szCs w:val="20"/>
        </w:rPr>
        <w:t>Produktl</w:t>
      </w:r>
      <w:r w:rsidR="00820A6B" w:rsidRPr="001C0DF8">
        <w:rPr>
          <w:rFonts w:ascii="Arial" w:hAnsi="Arial"/>
          <w:sz w:val="20"/>
          <w:szCs w:val="20"/>
        </w:rPr>
        <w:t>ebenszyklus von 10 Jahren</w:t>
      </w:r>
    </w:p>
    <w:p w14:paraId="4128033B" w14:textId="77777777" w:rsidR="00820A6B" w:rsidRPr="001C0DF8" w:rsidRDefault="00820A6B" w:rsidP="000F2DBD">
      <w:pPr>
        <w:autoSpaceDE w:val="0"/>
        <w:autoSpaceDN w:val="0"/>
        <w:adjustRightInd w:val="0"/>
        <w:spacing w:after="0" w:line="240" w:lineRule="auto"/>
        <w:jc w:val="both"/>
        <w:rPr>
          <w:rFonts w:ascii="Arial" w:hAnsi="Arial" w:cs="Arial"/>
          <w:sz w:val="20"/>
          <w:szCs w:val="20"/>
        </w:rPr>
      </w:pPr>
    </w:p>
    <w:p w14:paraId="16EC8D77" w14:textId="6ABE71DF" w:rsidR="000F2DBD" w:rsidRPr="000F2DBD" w:rsidRDefault="000F2DBD" w:rsidP="000F2DBD">
      <w:pPr>
        <w:autoSpaceDE w:val="0"/>
        <w:autoSpaceDN w:val="0"/>
        <w:adjustRightInd w:val="0"/>
        <w:spacing w:after="0" w:line="240" w:lineRule="auto"/>
        <w:jc w:val="both"/>
        <w:rPr>
          <w:rFonts w:ascii="Arial" w:hAnsi="Arial" w:cs="Arial"/>
          <w:b/>
          <w:bCs/>
          <w:sz w:val="20"/>
          <w:szCs w:val="20"/>
        </w:rPr>
      </w:pPr>
      <w:r w:rsidRPr="000F2DBD">
        <w:rPr>
          <w:rFonts w:ascii="Arial" w:hAnsi="Arial" w:cs="Arial"/>
          <w:b/>
          <w:bCs/>
          <w:sz w:val="20"/>
          <w:szCs w:val="20"/>
        </w:rPr>
        <w:t xml:space="preserve">ÖFFUNGSGESCHWINDIGKEIT: </w:t>
      </w:r>
      <w:r w:rsidRPr="000F2DBD">
        <w:rPr>
          <w:rFonts w:ascii="Arial" w:hAnsi="Arial" w:cs="Arial"/>
          <w:b/>
          <w:bCs/>
          <w:sz w:val="20"/>
          <w:szCs w:val="20"/>
        </w:rPr>
        <w:tab/>
      </w:r>
      <w:r w:rsidRPr="000F2DBD">
        <w:rPr>
          <w:rFonts w:ascii="Arial" w:hAnsi="Arial" w:cs="Arial"/>
          <w:b/>
          <w:bCs/>
          <w:sz w:val="20"/>
          <w:szCs w:val="20"/>
        </w:rPr>
        <w:tab/>
        <w:t>bis ca. 2,0 m/s</w:t>
      </w:r>
    </w:p>
    <w:p w14:paraId="0BFBBEDD" w14:textId="63489A39" w:rsidR="000F2DBD" w:rsidRDefault="000F2DBD" w:rsidP="000F2DBD">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 xml:space="preserve">Max. Torblattgeschwindigkeit: </w:t>
      </w:r>
      <w:r>
        <w:rPr>
          <w:rFonts w:ascii="Arial" w:hAnsi="Arial" w:cs="Arial"/>
          <w:b/>
          <w:bCs/>
          <w:sz w:val="20"/>
          <w:szCs w:val="20"/>
        </w:rPr>
        <w:tab/>
      </w:r>
      <w:r>
        <w:rPr>
          <w:rFonts w:ascii="Arial" w:hAnsi="Arial" w:cs="Arial"/>
          <w:b/>
          <w:bCs/>
          <w:sz w:val="20"/>
          <w:szCs w:val="20"/>
        </w:rPr>
        <w:tab/>
        <w:t>bis zu 2,5 m/s</w:t>
      </w:r>
    </w:p>
    <w:p w14:paraId="53D5D357" w14:textId="17742B1E" w:rsidR="000F2DBD" w:rsidRDefault="000F2DBD" w:rsidP="000F2DBD">
      <w:pPr>
        <w:autoSpaceDE w:val="0"/>
        <w:autoSpaceDN w:val="0"/>
        <w:adjustRightInd w:val="0"/>
        <w:spacing w:after="0" w:line="240" w:lineRule="auto"/>
        <w:jc w:val="both"/>
        <w:rPr>
          <w:rFonts w:ascii="Arial" w:hAnsi="Arial" w:cs="Arial"/>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w:t>
      </w:r>
      <w:r>
        <w:rPr>
          <w:rFonts w:ascii="Arial" w:hAnsi="Arial" w:cs="Arial"/>
          <w:sz w:val="20"/>
          <w:szCs w:val="20"/>
        </w:rPr>
        <w:t xml:space="preserve">abhängig von der </w:t>
      </w:r>
      <w:proofErr w:type="spellStart"/>
      <w:r>
        <w:rPr>
          <w:rFonts w:ascii="Arial" w:hAnsi="Arial" w:cs="Arial"/>
          <w:sz w:val="20"/>
          <w:szCs w:val="20"/>
        </w:rPr>
        <w:t>Torgröße</w:t>
      </w:r>
      <w:proofErr w:type="spellEnd"/>
      <w:r>
        <w:rPr>
          <w:rFonts w:ascii="Arial" w:hAnsi="Arial" w:cs="Arial"/>
          <w:sz w:val="20"/>
          <w:szCs w:val="20"/>
        </w:rPr>
        <w:t>)</w:t>
      </w:r>
    </w:p>
    <w:p w14:paraId="5EA6C948" w14:textId="786A0805" w:rsidR="000F2DBD" w:rsidRPr="000F2DBD" w:rsidRDefault="000F2DBD" w:rsidP="000F2DBD">
      <w:pPr>
        <w:autoSpaceDE w:val="0"/>
        <w:autoSpaceDN w:val="0"/>
        <w:adjustRightInd w:val="0"/>
        <w:spacing w:after="0" w:line="240" w:lineRule="auto"/>
        <w:jc w:val="both"/>
        <w:rPr>
          <w:rFonts w:ascii="Arial" w:hAnsi="Arial" w:cs="Arial"/>
          <w:b/>
          <w:bCs/>
          <w:sz w:val="20"/>
          <w:szCs w:val="20"/>
        </w:rPr>
      </w:pPr>
      <w:r w:rsidRPr="000F2DBD">
        <w:rPr>
          <w:rFonts w:ascii="Arial" w:hAnsi="Arial" w:cs="Arial"/>
          <w:b/>
          <w:bCs/>
          <w:sz w:val="20"/>
          <w:szCs w:val="20"/>
        </w:rPr>
        <w:t>SCHLIESSGESCHWINDIGKEIT:</w:t>
      </w:r>
      <w:r w:rsidRPr="000F2DBD">
        <w:rPr>
          <w:rFonts w:ascii="Arial" w:hAnsi="Arial" w:cs="Arial"/>
          <w:b/>
          <w:bCs/>
          <w:sz w:val="20"/>
          <w:szCs w:val="20"/>
        </w:rPr>
        <w:tab/>
      </w:r>
      <w:r w:rsidRPr="000F2DBD">
        <w:rPr>
          <w:rFonts w:ascii="Arial" w:hAnsi="Arial" w:cs="Arial"/>
          <w:b/>
          <w:bCs/>
          <w:sz w:val="20"/>
          <w:szCs w:val="20"/>
        </w:rPr>
        <w:tab/>
        <w:t>bis ca. 0,75 m/sec.</w:t>
      </w:r>
    </w:p>
    <w:p w14:paraId="5787FC72" w14:textId="77777777" w:rsidR="000F2DBD" w:rsidRPr="000F2DBD" w:rsidRDefault="000F2DBD" w:rsidP="000F2DBD">
      <w:pPr>
        <w:autoSpaceDE w:val="0"/>
        <w:autoSpaceDN w:val="0"/>
        <w:adjustRightInd w:val="0"/>
        <w:spacing w:after="0" w:line="240" w:lineRule="auto"/>
        <w:rPr>
          <w:rFonts w:ascii="Arial" w:hAnsi="Arial" w:cs="Arial"/>
          <w:b/>
          <w:bCs/>
          <w:sz w:val="20"/>
          <w:szCs w:val="20"/>
        </w:rPr>
      </w:pPr>
    </w:p>
    <w:p w14:paraId="671D168F" w14:textId="77777777" w:rsidR="000F2DBD" w:rsidRDefault="000F2DBD" w:rsidP="00452611">
      <w:pPr>
        <w:autoSpaceDE w:val="0"/>
        <w:autoSpaceDN w:val="0"/>
        <w:adjustRightInd w:val="0"/>
        <w:spacing w:after="0" w:line="240" w:lineRule="auto"/>
        <w:jc w:val="both"/>
        <w:rPr>
          <w:rFonts w:ascii="Arial" w:hAnsi="Arial" w:cs="Arial"/>
          <w:sz w:val="20"/>
          <w:szCs w:val="20"/>
        </w:rPr>
      </w:pPr>
    </w:p>
    <w:p w14:paraId="4DD2ED77" w14:textId="69827B4E" w:rsidR="0011783A" w:rsidRPr="0011783A" w:rsidRDefault="0011783A" w:rsidP="00452611">
      <w:pPr>
        <w:spacing w:after="0"/>
        <w:jc w:val="both"/>
        <w:rPr>
          <w:rFonts w:ascii="Arial" w:hAnsi="Arial"/>
          <w:sz w:val="20"/>
          <w:szCs w:val="20"/>
        </w:rPr>
      </w:pPr>
      <w:r w:rsidRPr="0011783A">
        <w:rPr>
          <w:rFonts w:ascii="Arial" w:hAnsi="Arial"/>
          <w:sz w:val="20"/>
          <w:szCs w:val="20"/>
        </w:rPr>
        <w:t>Vorschriften gemäß DIN EN 13241-1 sind erfüllt;</w:t>
      </w:r>
    </w:p>
    <w:p w14:paraId="2FECD615" w14:textId="77777777" w:rsidR="0011783A" w:rsidRPr="0011783A" w:rsidRDefault="0011783A" w:rsidP="00452611">
      <w:pPr>
        <w:spacing w:after="0"/>
        <w:jc w:val="both"/>
        <w:rPr>
          <w:rFonts w:ascii="Arial" w:hAnsi="Arial"/>
          <w:sz w:val="20"/>
          <w:szCs w:val="20"/>
        </w:rPr>
      </w:pPr>
      <w:r w:rsidRPr="0011783A">
        <w:rPr>
          <w:rFonts w:ascii="Arial" w:hAnsi="Arial"/>
          <w:sz w:val="20"/>
          <w:szCs w:val="20"/>
        </w:rPr>
        <w:t>für lichte Durchfahrtsöffnung</w:t>
      </w:r>
    </w:p>
    <w:p w14:paraId="2BDDB407" w14:textId="77777777" w:rsidR="0011783A" w:rsidRPr="0011783A" w:rsidRDefault="0011783A" w:rsidP="00452611">
      <w:pPr>
        <w:spacing w:after="0"/>
        <w:jc w:val="both"/>
        <w:rPr>
          <w:rFonts w:ascii="Arial" w:hAnsi="Arial"/>
          <w:sz w:val="20"/>
          <w:szCs w:val="20"/>
        </w:rPr>
      </w:pPr>
    </w:p>
    <w:p w14:paraId="7350468F" w14:textId="77777777" w:rsidR="0011783A" w:rsidRPr="0011783A" w:rsidRDefault="0011783A" w:rsidP="00452611">
      <w:pPr>
        <w:spacing w:after="0"/>
        <w:jc w:val="both"/>
        <w:rPr>
          <w:rFonts w:ascii="Arial" w:hAnsi="Arial"/>
          <w:sz w:val="20"/>
          <w:szCs w:val="20"/>
        </w:rPr>
      </w:pPr>
      <w:r w:rsidRPr="0011783A">
        <w:rPr>
          <w:rFonts w:ascii="Arial" w:hAnsi="Arial"/>
          <w:sz w:val="20"/>
          <w:szCs w:val="20"/>
        </w:rPr>
        <w:t xml:space="preserve">Breite = ............... </w:t>
      </w:r>
      <w:proofErr w:type="gramStart"/>
      <w:r w:rsidRPr="0011783A">
        <w:rPr>
          <w:rFonts w:ascii="Arial" w:hAnsi="Arial"/>
          <w:sz w:val="20"/>
          <w:szCs w:val="20"/>
        </w:rPr>
        <w:t>mm  x</w:t>
      </w:r>
      <w:proofErr w:type="gramEnd"/>
      <w:r w:rsidRPr="0011783A">
        <w:rPr>
          <w:rFonts w:ascii="Arial" w:hAnsi="Arial"/>
          <w:sz w:val="20"/>
          <w:szCs w:val="20"/>
        </w:rPr>
        <w:t xml:space="preserve">  Höhe = ............... mm</w:t>
      </w:r>
    </w:p>
    <w:p w14:paraId="69AFC9DE" w14:textId="77777777" w:rsidR="0011783A" w:rsidRPr="0011783A" w:rsidRDefault="0011783A" w:rsidP="00452611">
      <w:pPr>
        <w:spacing w:after="0"/>
        <w:jc w:val="both"/>
        <w:rPr>
          <w:rFonts w:ascii="Arial" w:hAnsi="Arial"/>
          <w:sz w:val="20"/>
          <w:szCs w:val="20"/>
        </w:rPr>
      </w:pPr>
    </w:p>
    <w:p w14:paraId="17E03579" w14:textId="77777777" w:rsidR="0011783A" w:rsidRPr="0011783A" w:rsidRDefault="0011783A" w:rsidP="00452611">
      <w:pPr>
        <w:spacing w:after="0"/>
        <w:jc w:val="both"/>
        <w:rPr>
          <w:rFonts w:ascii="Arial" w:hAnsi="Arial"/>
          <w:b/>
          <w:sz w:val="20"/>
          <w:szCs w:val="20"/>
        </w:rPr>
      </w:pPr>
      <w:r w:rsidRPr="0011783A">
        <w:rPr>
          <w:rFonts w:ascii="Arial" w:hAnsi="Arial"/>
          <w:b/>
          <w:sz w:val="20"/>
          <w:szCs w:val="20"/>
        </w:rPr>
        <w:t>Herstellernachweis:</w:t>
      </w:r>
    </w:p>
    <w:p w14:paraId="0F70250C" w14:textId="77777777" w:rsidR="0011783A" w:rsidRPr="0011783A" w:rsidRDefault="0011783A" w:rsidP="00452611">
      <w:pPr>
        <w:spacing w:after="0"/>
        <w:jc w:val="both"/>
        <w:rPr>
          <w:rFonts w:ascii="Arial" w:hAnsi="Arial"/>
          <w:sz w:val="20"/>
          <w:szCs w:val="20"/>
        </w:rPr>
      </w:pPr>
      <w:r w:rsidRPr="0011783A">
        <w:rPr>
          <w:rFonts w:ascii="Arial" w:hAnsi="Arial"/>
          <w:sz w:val="20"/>
          <w:szCs w:val="20"/>
        </w:rPr>
        <w:t>EFAFLEX Tor- und Sicherheitssysteme GmbH &amp; Co. KG</w:t>
      </w:r>
    </w:p>
    <w:p w14:paraId="5C49F8C7" w14:textId="7EFA3596" w:rsidR="0011783A" w:rsidRDefault="001C0DF8" w:rsidP="0011783A">
      <w:pPr>
        <w:ind w:right="170"/>
        <w:jc w:val="both"/>
        <w:rPr>
          <w:rFonts w:ascii="Arial" w:hAnsi="Arial"/>
          <w:sz w:val="20"/>
          <w:szCs w:val="20"/>
        </w:rPr>
      </w:pPr>
      <w:hyperlink r:id="rId5" w:history="1">
        <w:r w:rsidR="0011783A" w:rsidRPr="00D34A1D">
          <w:rPr>
            <w:rStyle w:val="Hyperlink"/>
            <w:rFonts w:ascii="Arial" w:hAnsi="Arial"/>
            <w:sz w:val="20"/>
            <w:szCs w:val="20"/>
          </w:rPr>
          <w:t>www.efaflex.com</w:t>
        </w:r>
      </w:hyperlink>
    </w:p>
    <w:p w14:paraId="3B531EE4" w14:textId="6BB55552" w:rsidR="0011783A" w:rsidRDefault="0011783A" w:rsidP="0011783A">
      <w:pPr>
        <w:ind w:right="170"/>
        <w:jc w:val="both"/>
        <w:rPr>
          <w:rFonts w:ascii="Arial" w:hAnsi="Arial"/>
          <w:sz w:val="20"/>
          <w:szCs w:val="20"/>
        </w:rPr>
      </w:pPr>
    </w:p>
    <w:p w14:paraId="269718DC" w14:textId="77777777" w:rsidR="00452611" w:rsidRPr="0011783A" w:rsidRDefault="00452611" w:rsidP="0011783A">
      <w:pPr>
        <w:ind w:right="170"/>
        <w:jc w:val="both"/>
        <w:rPr>
          <w:rFonts w:ascii="Arial" w:hAnsi="Arial"/>
          <w:sz w:val="20"/>
          <w:szCs w:val="20"/>
        </w:rPr>
      </w:pPr>
    </w:p>
    <w:p w14:paraId="1CD9C5B5" w14:textId="10E42489" w:rsidR="0011783A" w:rsidRDefault="0011783A" w:rsidP="00452611">
      <w:pPr>
        <w:spacing w:after="0"/>
        <w:jc w:val="both"/>
        <w:rPr>
          <w:rFonts w:ascii="Arial" w:hAnsi="Arial"/>
          <w:b/>
          <w:bCs/>
          <w:sz w:val="20"/>
          <w:szCs w:val="20"/>
          <w:u w:val="single"/>
        </w:rPr>
      </w:pPr>
      <w:r w:rsidRPr="00662963">
        <w:rPr>
          <w:rFonts w:ascii="Arial" w:hAnsi="Arial"/>
          <w:b/>
          <w:bCs/>
          <w:sz w:val="20"/>
          <w:szCs w:val="20"/>
          <w:u w:val="single"/>
        </w:rPr>
        <w:t>Optionen:</w:t>
      </w:r>
    </w:p>
    <w:p w14:paraId="1B5A64D4" w14:textId="77777777" w:rsidR="00452611" w:rsidRPr="00662963" w:rsidRDefault="00452611" w:rsidP="00452611">
      <w:pPr>
        <w:spacing w:after="0"/>
        <w:jc w:val="both"/>
        <w:rPr>
          <w:rFonts w:ascii="Arial" w:hAnsi="Arial"/>
          <w:b/>
          <w:bCs/>
          <w:sz w:val="20"/>
          <w:szCs w:val="20"/>
          <w:u w:val="single"/>
        </w:rPr>
      </w:pPr>
    </w:p>
    <w:p w14:paraId="05D561FA" w14:textId="77777777" w:rsidR="0011783A" w:rsidRPr="00662963" w:rsidRDefault="0011783A" w:rsidP="00452611">
      <w:pPr>
        <w:spacing w:after="0"/>
        <w:rPr>
          <w:b/>
          <w:bCs/>
          <w:u w:val="single"/>
        </w:rPr>
      </w:pPr>
      <w:r w:rsidRPr="00662963">
        <w:rPr>
          <w:b/>
          <w:bCs/>
          <w:u w:val="single"/>
        </w:rPr>
        <w:t>Komplettabdeckungen:</w:t>
      </w:r>
    </w:p>
    <w:p w14:paraId="661C5B01" w14:textId="64876639" w:rsidR="0011783A" w:rsidRDefault="0011783A" w:rsidP="00452611">
      <w:pPr>
        <w:spacing w:after="0"/>
      </w:pPr>
      <w:r>
        <w:t>•</w:t>
      </w:r>
      <w:r>
        <w:tab/>
        <w:t>40° Schräge oder</w:t>
      </w:r>
    </w:p>
    <w:p w14:paraId="68DC357D" w14:textId="160254B4" w:rsidR="0011783A" w:rsidRDefault="0011783A" w:rsidP="00452611">
      <w:pPr>
        <w:spacing w:after="0"/>
      </w:pPr>
      <w:r>
        <w:t>•</w:t>
      </w:r>
      <w:r>
        <w:tab/>
        <w:t>90° vertikal bis unter abgehängte Decke (nur zwischen H+3</w:t>
      </w:r>
      <w:r w:rsidR="00A90DB8">
        <w:t>8</w:t>
      </w:r>
      <w:r>
        <w:t>0 mm u. H+1.100 mm möglich)</w:t>
      </w:r>
    </w:p>
    <w:p w14:paraId="727845C5" w14:textId="0B19823E" w:rsidR="00A90DB8" w:rsidRDefault="00A90DB8" w:rsidP="00452611">
      <w:pPr>
        <w:spacing w:after="0"/>
      </w:pPr>
    </w:p>
    <w:p w14:paraId="6CA638BF" w14:textId="1D6E5485" w:rsidR="00A90DB8" w:rsidRPr="00662963" w:rsidRDefault="00A90DB8" w:rsidP="00452611">
      <w:pPr>
        <w:spacing w:after="0"/>
        <w:rPr>
          <w:b/>
          <w:bCs/>
          <w:u w:val="single"/>
        </w:rPr>
      </w:pPr>
      <w:proofErr w:type="spellStart"/>
      <w:r w:rsidRPr="00662963">
        <w:rPr>
          <w:b/>
          <w:bCs/>
          <w:u w:val="single"/>
        </w:rPr>
        <w:t>Zargenverlängerung</w:t>
      </w:r>
      <w:proofErr w:type="spellEnd"/>
      <w:r w:rsidRPr="00662963">
        <w:rPr>
          <w:b/>
          <w:bCs/>
          <w:u w:val="single"/>
        </w:rPr>
        <w:t>:</w:t>
      </w:r>
    </w:p>
    <w:p w14:paraId="2CAD3395" w14:textId="75DAD04F" w:rsidR="00A90DB8" w:rsidRDefault="00A90DB8" w:rsidP="00452611">
      <w:pPr>
        <w:spacing w:after="0"/>
        <w:jc w:val="both"/>
      </w:pPr>
      <w:r>
        <w:t xml:space="preserve">Bei einer optionalen </w:t>
      </w:r>
      <w:proofErr w:type="spellStart"/>
      <w:r>
        <w:t>Zargenverlängerung</w:t>
      </w:r>
      <w:proofErr w:type="spellEnd"/>
      <w:r>
        <w:t xml:space="preserve"> sind die beiden Zargen verlängert, das Torblatt behält jedoch die gleiche Länge. Das heißt, im geschlossenen Zustand befindet sich das Torblatt nicht am Boden, sondern auf Höhe der ursprünglichen </w:t>
      </w:r>
      <w:proofErr w:type="spellStart"/>
      <w:r>
        <w:t>Zargenlänge</w:t>
      </w:r>
      <w:proofErr w:type="spellEnd"/>
    </w:p>
    <w:p w14:paraId="667668D9" w14:textId="77777777" w:rsidR="00452611" w:rsidRDefault="00452611" w:rsidP="00452611">
      <w:pPr>
        <w:spacing w:after="0"/>
        <w:jc w:val="both"/>
      </w:pPr>
    </w:p>
    <w:p w14:paraId="5901AEFA" w14:textId="763762D2" w:rsidR="00A90DB8" w:rsidRPr="00662963" w:rsidRDefault="00213539" w:rsidP="00452611">
      <w:pPr>
        <w:spacing w:after="0"/>
        <w:jc w:val="both"/>
        <w:rPr>
          <w:b/>
          <w:bCs/>
          <w:u w:val="single"/>
        </w:rPr>
      </w:pPr>
      <w:r w:rsidRPr="001C0DF8">
        <w:rPr>
          <w:b/>
          <w:bCs/>
          <w:u w:val="single"/>
        </w:rPr>
        <w:t xml:space="preserve">Weitere </w:t>
      </w:r>
      <w:proofErr w:type="spellStart"/>
      <w:r w:rsidR="00A90DB8" w:rsidRPr="00662963">
        <w:rPr>
          <w:b/>
          <w:bCs/>
          <w:u w:val="single"/>
        </w:rPr>
        <w:t>Behangarten</w:t>
      </w:r>
      <w:proofErr w:type="spellEnd"/>
      <w:r w:rsidR="00A90DB8" w:rsidRPr="00662963">
        <w:rPr>
          <w:b/>
          <w:bCs/>
          <w:u w:val="single"/>
        </w:rPr>
        <w:t>:</w:t>
      </w:r>
    </w:p>
    <w:p w14:paraId="6003F0F5" w14:textId="77777777" w:rsidR="001C0DF8" w:rsidRDefault="001C0DF8" w:rsidP="00452611">
      <w:pPr>
        <w:spacing w:after="0"/>
        <w:jc w:val="both"/>
        <w:rPr>
          <w:b/>
          <w:bCs/>
          <w:strike/>
          <w:color w:val="FF0000"/>
        </w:rPr>
      </w:pPr>
    </w:p>
    <w:p w14:paraId="11B0BA46" w14:textId="20AB2054" w:rsidR="00A90DB8" w:rsidRPr="00662963" w:rsidRDefault="00A90DB8" w:rsidP="00452611">
      <w:pPr>
        <w:spacing w:after="0"/>
        <w:jc w:val="both"/>
        <w:rPr>
          <w:b/>
          <w:bCs/>
        </w:rPr>
      </w:pPr>
      <w:r w:rsidRPr="00662963">
        <w:rPr>
          <w:b/>
          <w:bCs/>
        </w:rPr>
        <w:t>2 mm dicker Behang, beidseitig rau mit und ohne Sichtfenster</w:t>
      </w:r>
    </w:p>
    <w:p w14:paraId="10A26609" w14:textId="590CC7F2" w:rsidR="00662963" w:rsidRDefault="00662963" w:rsidP="00452611">
      <w:pPr>
        <w:spacing w:after="0"/>
        <w:jc w:val="both"/>
      </w:pPr>
      <w:r>
        <w:t xml:space="preserve">entspricht den Vorgaben der FDA 21CR §175.300 (Tabelle 2, D) für den Kontakt </w:t>
      </w:r>
      <w:proofErr w:type="gramStart"/>
      <w:r>
        <w:t>von wässrigen Lebensmittel</w:t>
      </w:r>
      <w:proofErr w:type="gramEnd"/>
      <w:r>
        <w:t xml:space="preserve"> (Kontaktdauer 30 min bei 40°C). Öl- und fetthaltigen Lebensmittel sind ausgeschlossen. (trifft bei Torbehang mit Sichtfenster nur bedingt zu)</w:t>
      </w:r>
    </w:p>
    <w:p w14:paraId="317D2CE5" w14:textId="16720F15" w:rsidR="00A90DB8" w:rsidRDefault="00A90DB8" w:rsidP="00452611">
      <w:pPr>
        <w:pStyle w:val="Listenabsatz"/>
        <w:numPr>
          <w:ilvl w:val="0"/>
          <w:numId w:val="1"/>
        </w:numPr>
        <w:spacing w:after="0"/>
        <w:jc w:val="both"/>
      </w:pPr>
      <w:r>
        <w:t>blau, ähnlich RAL 5002</w:t>
      </w:r>
      <w:r w:rsidR="00213539">
        <w:t xml:space="preserve"> *</w:t>
      </w:r>
    </w:p>
    <w:p w14:paraId="6D3E58ED" w14:textId="77777777" w:rsidR="00A90DB8" w:rsidRDefault="00A90DB8" w:rsidP="00452611">
      <w:pPr>
        <w:pStyle w:val="Listenabsatz"/>
        <w:numPr>
          <w:ilvl w:val="0"/>
          <w:numId w:val="1"/>
        </w:numPr>
        <w:spacing w:after="0"/>
        <w:jc w:val="both"/>
      </w:pPr>
      <w:r>
        <w:t>gelb, ähnlich RAL 1021</w:t>
      </w:r>
    </w:p>
    <w:p w14:paraId="53AF6962" w14:textId="77777777" w:rsidR="00A90DB8" w:rsidRDefault="00A90DB8" w:rsidP="00452611">
      <w:pPr>
        <w:pStyle w:val="Listenabsatz"/>
        <w:numPr>
          <w:ilvl w:val="0"/>
          <w:numId w:val="1"/>
        </w:numPr>
        <w:spacing w:after="0"/>
        <w:jc w:val="both"/>
      </w:pPr>
      <w:r>
        <w:t>orange, ähnlich RAL 2008</w:t>
      </w:r>
    </w:p>
    <w:p w14:paraId="1B4CBA9B" w14:textId="77777777" w:rsidR="00A90DB8" w:rsidRDefault="00A90DB8" w:rsidP="00452611">
      <w:pPr>
        <w:pStyle w:val="Listenabsatz"/>
        <w:numPr>
          <w:ilvl w:val="0"/>
          <w:numId w:val="1"/>
        </w:numPr>
        <w:spacing w:after="0"/>
        <w:jc w:val="both"/>
      </w:pPr>
      <w:r>
        <w:t>rot, ähnlich RAL 3002</w:t>
      </w:r>
    </w:p>
    <w:p w14:paraId="558CA581" w14:textId="3A54A6DF" w:rsidR="00213539" w:rsidRDefault="00213539" w:rsidP="00213539">
      <w:pPr>
        <w:spacing w:after="0"/>
        <w:jc w:val="both"/>
      </w:pPr>
      <w:r>
        <w:t>* antistatisch ausgerüstet (trifft bei Torbehang mit Sichtfenster nur bedingt zu)</w:t>
      </w:r>
    </w:p>
    <w:p w14:paraId="3B72A94C" w14:textId="1557B2A5" w:rsidR="00A90DB8" w:rsidRDefault="00A90DB8" w:rsidP="00452611">
      <w:pPr>
        <w:spacing w:after="0"/>
        <w:jc w:val="both"/>
      </w:pPr>
      <w:r>
        <w:t>Alle Behänge sind frei von lackbenetzungsstörenden Substanzen (LABS) (nach VW-Test).</w:t>
      </w:r>
    </w:p>
    <w:p w14:paraId="69CCEBCD" w14:textId="77777777" w:rsidR="00662963" w:rsidRDefault="00662963" w:rsidP="00452611">
      <w:pPr>
        <w:spacing w:after="0"/>
        <w:jc w:val="both"/>
      </w:pPr>
    </w:p>
    <w:p w14:paraId="1732C287" w14:textId="66B93256" w:rsidR="00662963" w:rsidRPr="001C0DF8" w:rsidRDefault="00662963" w:rsidP="00452611">
      <w:pPr>
        <w:spacing w:after="0"/>
        <w:jc w:val="both"/>
        <w:rPr>
          <w:b/>
          <w:bCs/>
        </w:rPr>
      </w:pPr>
      <w:r w:rsidRPr="001C0DF8">
        <w:rPr>
          <w:b/>
          <w:bCs/>
        </w:rPr>
        <w:t>Sichtfenster aus Weich-PVC transparent</w:t>
      </w:r>
    </w:p>
    <w:p w14:paraId="2FFA8C07" w14:textId="2A29A2D1" w:rsidR="00F71538" w:rsidRDefault="00846F84" w:rsidP="00452611">
      <w:pPr>
        <w:spacing w:after="0"/>
        <w:jc w:val="both"/>
      </w:pPr>
      <w:r>
        <w:t xml:space="preserve">Optional </w:t>
      </w:r>
      <w:r w:rsidR="00A90DB8">
        <w:t>Fenster aus Weich-PVC,</w:t>
      </w:r>
      <w:r w:rsidR="00F71538">
        <w:t xml:space="preserve"> Maß von Fußboden bis </w:t>
      </w:r>
      <w:r w:rsidR="00357187">
        <w:t>U</w:t>
      </w:r>
      <w:r w:rsidR="00F71538">
        <w:t>nterkante Sichtfenster sowie Sichtfensterhöhe (bis max. 1.400 mm) frei wählbar</w:t>
      </w:r>
    </w:p>
    <w:p w14:paraId="5A6FCE39" w14:textId="77777777" w:rsidR="001C0DF8" w:rsidRDefault="001C0DF8" w:rsidP="00452611">
      <w:pPr>
        <w:spacing w:after="0"/>
        <w:jc w:val="both"/>
        <w:rPr>
          <w:strike/>
          <w:color w:val="FF0000"/>
        </w:rPr>
      </w:pPr>
    </w:p>
    <w:p w14:paraId="28D41F1A" w14:textId="64743DB2" w:rsidR="00A90DB8" w:rsidRPr="00662963" w:rsidRDefault="00662963" w:rsidP="00452611">
      <w:pPr>
        <w:spacing w:after="0"/>
        <w:jc w:val="both"/>
        <w:rPr>
          <w:b/>
          <w:bCs/>
          <w:u w:val="single"/>
        </w:rPr>
      </w:pPr>
      <w:r w:rsidRPr="00662963">
        <w:rPr>
          <w:b/>
          <w:bCs/>
          <w:u w:val="single"/>
        </w:rPr>
        <w:t>Sicherheit:</w:t>
      </w:r>
    </w:p>
    <w:p w14:paraId="01AD64CA" w14:textId="0E474484" w:rsidR="00662963" w:rsidRDefault="00662963" w:rsidP="00452611">
      <w:pPr>
        <w:spacing w:after="0"/>
      </w:pPr>
      <w:r>
        <w:t>Radarmelder und Aktives Infrarot Sensorelement zur Vorfeldabsicherung</w:t>
      </w:r>
    </w:p>
    <w:p w14:paraId="5F1C2D54" w14:textId="77777777" w:rsidR="001C0DF8" w:rsidRDefault="001C0DF8" w:rsidP="00452611">
      <w:pPr>
        <w:spacing w:after="0"/>
      </w:pPr>
    </w:p>
    <w:p w14:paraId="58D70C45" w14:textId="36D3FF32" w:rsidR="006043D8" w:rsidRPr="001C0DF8" w:rsidRDefault="006043D8" w:rsidP="006043D8">
      <w:pPr>
        <w:spacing w:after="0"/>
        <w:jc w:val="both"/>
      </w:pPr>
      <w:r w:rsidRPr="001C0DF8">
        <w:t>Notentriegelung mittels Hebel für Torgegenseite (wahlweise Unterputz oder Aufputz)</w:t>
      </w:r>
    </w:p>
    <w:p w14:paraId="46A2314E" w14:textId="77777777" w:rsidR="00452611" w:rsidRPr="001C0DF8" w:rsidRDefault="00452611" w:rsidP="00452611">
      <w:pPr>
        <w:spacing w:after="0"/>
        <w:rPr>
          <w:b/>
          <w:bCs/>
          <w:u w:val="single"/>
        </w:rPr>
      </w:pPr>
    </w:p>
    <w:p w14:paraId="74005A92" w14:textId="5A45E655" w:rsidR="00662963" w:rsidRPr="00662963" w:rsidRDefault="00662963" w:rsidP="00452611">
      <w:pPr>
        <w:spacing w:after="0"/>
        <w:rPr>
          <w:b/>
          <w:bCs/>
          <w:u w:val="single"/>
        </w:rPr>
      </w:pPr>
      <w:r w:rsidRPr="00662963">
        <w:rPr>
          <w:b/>
          <w:bCs/>
          <w:u w:val="single"/>
        </w:rPr>
        <w:t>Impulsgeber und Zustandsanzeigen:</w:t>
      </w:r>
    </w:p>
    <w:p w14:paraId="4C9F7C4D" w14:textId="77777777" w:rsidR="00662963" w:rsidRDefault="00662963" w:rsidP="00452611">
      <w:pPr>
        <w:spacing w:after="0"/>
      </w:pPr>
      <w:r>
        <w:t>•</w:t>
      </w:r>
      <w:r>
        <w:tab/>
        <w:t>reinraumtaugliche Drucktaster (AP oder UP), Zugschalter, Radarmelder</w:t>
      </w:r>
    </w:p>
    <w:p w14:paraId="1D7077E8" w14:textId="77777777" w:rsidR="00662963" w:rsidRDefault="00662963" w:rsidP="00452611">
      <w:pPr>
        <w:spacing w:after="0"/>
      </w:pPr>
      <w:r>
        <w:t>•</w:t>
      </w:r>
      <w:r>
        <w:tab/>
        <w:t>Berührungsloser Impulsgeber</w:t>
      </w:r>
    </w:p>
    <w:p w14:paraId="07D7BC41" w14:textId="4A607133" w:rsidR="000F2DBD" w:rsidRDefault="00662963" w:rsidP="00452611">
      <w:pPr>
        <w:spacing w:after="0"/>
      </w:pPr>
      <w:r>
        <w:t>•</w:t>
      </w:r>
      <w:r>
        <w:tab/>
        <w:t xml:space="preserve">rot/grün </w:t>
      </w:r>
      <w:proofErr w:type="gramStart"/>
      <w:r>
        <w:t>LED Ampel</w:t>
      </w:r>
      <w:proofErr w:type="gramEnd"/>
      <w:r>
        <w:t>, Reinraumausführung</w:t>
      </w:r>
    </w:p>
    <w:p w14:paraId="70E39DDF" w14:textId="77777777" w:rsidR="008F6BD2" w:rsidRDefault="008F6BD2" w:rsidP="00452611">
      <w:pPr>
        <w:spacing w:after="0"/>
      </w:pPr>
    </w:p>
    <w:sectPr w:rsidR="008F6BD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03383"/>
    <w:multiLevelType w:val="hybridMultilevel"/>
    <w:tmpl w:val="B1269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1950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BD"/>
    <w:rsid w:val="000F2DBD"/>
    <w:rsid w:val="0011783A"/>
    <w:rsid w:val="001C0DF8"/>
    <w:rsid w:val="00213539"/>
    <w:rsid w:val="00222B5C"/>
    <w:rsid w:val="0029774D"/>
    <w:rsid w:val="00343157"/>
    <w:rsid w:val="00357187"/>
    <w:rsid w:val="00382BEC"/>
    <w:rsid w:val="00452611"/>
    <w:rsid w:val="004A7B99"/>
    <w:rsid w:val="005B5020"/>
    <w:rsid w:val="005F7C9C"/>
    <w:rsid w:val="006043D8"/>
    <w:rsid w:val="00630AA6"/>
    <w:rsid w:val="00662963"/>
    <w:rsid w:val="00820A6B"/>
    <w:rsid w:val="00846F84"/>
    <w:rsid w:val="008B6AE3"/>
    <w:rsid w:val="008F6BD2"/>
    <w:rsid w:val="008F79B7"/>
    <w:rsid w:val="00A90DB8"/>
    <w:rsid w:val="00A95627"/>
    <w:rsid w:val="00AF1933"/>
    <w:rsid w:val="00B27DDA"/>
    <w:rsid w:val="00CD3D1F"/>
    <w:rsid w:val="00CD748A"/>
    <w:rsid w:val="00DA133C"/>
    <w:rsid w:val="00DB3CFB"/>
    <w:rsid w:val="00E64122"/>
    <w:rsid w:val="00EC4197"/>
    <w:rsid w:val="00EE052E"/>
    <w:rsid w:val="00EF13B3"/>
    <w:rsid w:val="00EF2F0E"/>
    <w:rsid w:val="00F01EFA"/>
    <w:rsid w:val="00F31A0D"/>
    <w:rsid w:val="00F715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22265"/>
  <w15:chartTrackingRefBased/>
  <w15:docId w15:val="{95B61D72-4D6A-4356-8626-EF99C6A2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1783A"/>
    <w:rPr>
      <w:color w:val="0563C1" w:themeColor="hyperlink"/>
      <w:u w:val="single"/>
    </w:rPr>
  </w:style>
  <w:style w:type="character" w:styleId="NichtaufgelsteErwhnung">
    <w:name w:val="Unresolved Mention"/>
    <w:basedOn w:val="Absatz-Standardschriftart"/>
    <w:uiPriority w:val="99"/>
    <w:semiHidden/>
    <w:unhideWhenUsed/>
    <w:rsid w:val="0011783A"/>
    <w:rPr>
      <w:color w:val="605E5C"/>
      <w:shd w:val="clear" w:color="auto" w:fill="E1DFDD"/>
    </w:rPr>
  </w:style>
  <w:style w:type="paragraph" w:styleId="Listenabsatz">
    <w:name w:val="List Paragraph"/>
    <w:basedOn w:val="Standard"/>
    <w:uiPriority w:val="34"/>
    <w:qFormat/>
    <w:rsid w:val="004526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faflex.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3845</Characters>
  <Application>Microsoft Office Word</Application>
  <DocSecurity>4</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Flexeder Markus</cp:lastModifiedBy>
  <cp:revision>2</cp:revision>
  <dcterms:created xsi:type="dcterms:W3CDTF">2023-02-07T07:59:00Z</dcterms:created>
  <dcterms:modified xsi:type="dcterms:W3CDTF">2023-02-07T07:59:00Z</dcterms:modified>
</cp:coreProperties>
</file>