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12B60" w14:textId="77777777" w:rsidR="00C312A2" w:rsidRDefault="00C312A2" w:rsidP="00C312A2">
      <w:pPr>
        <w:pStyle w:val="KeinLeerraum"/>
        <w:rPr>
          <w:rFonts w:ascii="Arial" w:hAnsi="Arial" w:cs="Arial"/>
          <w:sz w:val="20"/>
          <w:szCs w:val="20"/>
        </w:rPr>
      </w:pPr>
      <w:r w:rsidRPr="00C312A2">
        <w:rPr>
          <w:rFonts w:ascii="Arial" w:hAnsi="Arial" w:cs="Arial"/>
          <w:b/>
          <w:bCs/>
          <w:sz w:val="20"/>
          <w:szCs w:val="20"/>
          <w:u w:val="single"/>
        </w:rPr>
        <w:t>HIGH-SPEED ROLL-UP DOOR</w:t>
      </w:r>
      <w:r w:rsidRPr="00C312A2">
        <w:rPr>
          <w:rFonts w:ascii="Arial" w:hAnsi="Arial" w:cs="Arial"/>
          <w:b/>
          <w:bCs/>
          <w:sz w:val="20"/>
          <w:szCs w:val="20"/>
        </w:rPr>
        <w:t>, type “EFA-SRT®-ECO”</w:t>
      </w:r>
      <w:r w:rsidRPr="00C312A2">
        <w:rPr>
          <w:rFonts w:ascii="Arial" w:hAnsi="Arial" w:cs="Arial"/>
          <w:b/>
          <w:bCs/>
          <w:sz w:val="20"/>
          <w:szCs w:val="20"/>
        </w:rPr>
        <w:br/>
      </w:r>
      <w:r w:rsidRPr="00C312A2">
        <w:rPr>
          <w:rFonts w:ascii="Arial" w:hAnsi="Arial" w:cs="Arial"/>
          <w:b/>
          <w:bCs/>
          <w:sz w:val="20"/>
          <w:szCs w:val="20"/>
        </w:rPr>
        <w:br/>
      </w:r>
      <w:r w:rsidRPr="00C312A2">
        <w:rPr>
          <w:rFonts w:ascii="Arial" w:hAnsi="Arial" w:cs="Arial"/>
          <w:sz w:val="20"/>
          <w:szCs w:val="20"/>
        </w:rPr>
        <w:t>Manufacture, delivery and installation of</w:t>
      </w:r>
      <w:r w:rsidRPr="00C312A2">
        <w:rPr>
          <w:rFonts w:ascii="Arial" w:hAnsi="Arial" w:cs="Arial"/>
          <w:sz w:val="20"/>
          <w:szCs w:val="20"/>
        </w:rPr>
        <w:br/>
      </w:r>
      <w:r w:rsidRPr="00C312A2">
        <w:rPr>
          <w:rFonts w:ascii="Arial" w:hAnsi="Arial" w:cs="Arial"/>
          <w:sz w:val="20"/>
          <w:szCs w:val="20"/>
        </w:rPr>
        <w:br/>
        <w:t>High-speed roll-up door, type „EFA-SRT®-</w:t>
      </w:r>
      <w:proofErr w:type="gramStart"/>
      <w:r w:rsidRPr="00C312A2">
        <w:rPr>
          <w:rFonts w:ascii="Arial" w:hAnsi="Arial" w:cs="Arial"/>
          <w:sz w:val="20"/>
          <w:szCs w:val="20"/>
        </w:rPr>
        <w:t>ECO“</w:t>
      </w:r>
      <w:proofErr w:type="gramEnd"/>
      <w:r w:rsidRPr="00C312A2">
        <w:rPr>
          <w:rFonts w:ascii="Arial" w:hAnsi="Arial" w:cs="Arial"/>
          <w:sz w:val="20"/>
          <w:szCs w:val="20"/>
        </w:rPr>
        <w:t>, with electro-mechanical high-performance drive unit for inside use without wind load.</w:t>
      </w:r>
      <w:r w:rsidRPr="00C312A2">
        <w:rPr>
          <w:rFonts w:ascii="Arial" w:hAnsi="Arial" w:cs="Arial"/>
          <w:sz w:val="20"/>
          <w:szCs w:val="20"/>
        </w:rPr>
        <w:br/>
      </w:r>
      <w:r w:rsidRPr="00C312A2">
        <w:rPr>
          <w:rFonts w:ascii="Arial" w:hAnsi="Arial" w:cs="Arial"/>
          <w:sz w:val="20"/>
          <w:szCs w:val="20"/>
        </w:rPr>
        <w:br/>
        <w:t xml:space="preserve">The weight is balanced by means of maintenance- and wear-free counterweights which are integrated into both lateral frame members. The main advantage of this construction consists in that </w:t>
      </w:r>
      <w:proofErr w:type="gramStart"/>
      <w:r w:rsidRPr="00C312A2">
        <w:rPr>
          <w:rFonts w:ascii="Arial" w:hAnsi="Arial" w:cs="Arial"/>
          <w:sz w:val="20"/>
          <w:szCs w:val="20"/>
        </w:rPr>
        <w:t>e.g.</w:t>
      </w:r>
      <w:proofErr w:type="gramEnd"/>
      <w:r w:rsidRPr="00C312A2">
        <w:rPr>
          <w:rFonts w:ascii="Arial" w:hAnsi="Arial" w:cs="Arial"/>
          <w:sz w:val="20"/>
          <w:szCs w:val="20"/>
        </w:rPr>
        <w:t xml:space="preserve"> the door can be opened in a quicker and simpler manner in the case of power failure, at any time. For doing this, one merely </w:t>
      </w:r>
      <w:proofErr w:type="gramStart"/>
      <w:r w:rsidRPr="00C312A2">
        <w:rPr>
          <w:rFonts w:ascii="Arial" w:hAnsi="Arial" w:cs="Arial"/>
          <w:sz w:val="20"/>
          <w:szCs w:val="20"/>
        </w:rPr>
        <w:t>has to</w:t>
      </w:r>
      <w:proofErr w:type="gramEnd"/>
      <w:r w:rsidRPr="00C312A2">
        <w:rPr>
          <w:rFonts w:ascii="Arial" w:hAnsi="Arial" w:cs="Arial"/>
          <w:sz w:val="20"/>
          <w:szCs w:val="20"/>
        </w:rPr>
        <w:t xml:space="preserve"> activate the standard pull cord. This loosens the </w:t>
      </w:r>
      <w:proofErr w:type="gramStart"/>
      <w:r w:rsidRPr="00C312A2">
        <w:rPr>
          <w:rFonts w:ascii="Arial" w:hAnsi="Arial" w:cs="Arial"/>
          <w:sz w:val="20"/>
          <w:szCs w:val="20"/>
        </w:rPr>
        <w:t>brake</w:t>
      </w:r>
      <w:proofErr w:type="gramEnd"/>
      <w:r w:rsidRPr="00C312A2">
        <w:rPr>
          <w:rFonts w:ascii="Arial" w:hAnsi="Arial" w:cs="Arial"/>
          <w:sz w:val="20"/>
          <w:szCs w:val="20"/>
        </w:rPr>
        <w:t xml:space="preserve"> and the door opens automatically. Constructions using torsion springs are not admissible; standard door leaf made of 2 mm thick PVC, fully transparent, laterally led and wound onto horizontally supported shaft; PVC door leaves generally dispose of a vertical warning </w:t>
      </w:r>
      <w:proofErr w:type="gramStart"/>
      <w:r w:rsidRPr="00C312A2">
        <w:rPr>
          <w:rFonts w:ascii="Arial" w:hAnsi="Arial" w:cs="Arial"/>
          <w:sz w:val="20"/>
          <w:szCs w:val="20"/>
        </w:rPr>
        <w:t>stripes</w:t>
      </w:r>
      <w:proofErr w:type="gramEnd"/>
      <w:r w:rsidRPr="00C312A2">
        <w:rPr>
          <w:rFonts w:ascii="Arial" w:hAnsi="Arial" w:cs="Arial"/>
          <w:sz w:val="20"/>
          <w:szCs w:val="20"/>
        </w:rPr>
        <w:t xml:space="preserve">. Additionally, the lateral curtain rails are to be developed with special wind locking buttons. </w:t>
      </w:r>
      <w:proofErr w:type="gramStart"/>
      <w:r w:rsidRPr="00C312A2">
        <w:rPr>
          <w:rFonts w:ascii="Arial" w:hAnsi="Arial" w:cs="Arial"/>
          <w:sz w:val="20"/>
          <w:szCs w:val="20"/>
        </w:rPr>
        <w:t>Steel frame construction,</w:t>
      </w:r>
      <w:proofErr w:type="gramEnd"/>
      <w:r w:rsidRPr="00C312A2">
        <w:rPr>
          <w:rFonts w:ascii="Arial" w:hAnsi="Arial" w:cs="Arial"/>
          <w:sz w:val="20"/>
          <w:szCs w:val="20"/>
        </w:rPr>
        <w:t xml:space="preserve"> </w:t>
      </w:r>
      <w:proofErr w:type="spellStart"/>
      <w:r w:rsidRPr="00C312A2">
        <w:rPr>
          <w:rFonts w:ascii="Arial" w:hAnsi="Arial" w:cs="Arial"/>
          <w:sz w:val="20"/>
          <w:szCs w:val="20"/>
        </w:rPr>
        <w:t>sendizimir</w:t>
      </w:r>
      <w:proofErr w:type="spellEnd"/>
      <w:r w:rsidRPr="00C312A2">
        <w:rPr>
          <w:rFonts w:ascii="Arial" w:hAnsi="Arial" w:cs="Arial"/>
          <w:sz w:val="20"/>
          <w:szCs w:val="20"/>
        </w:rPr>
        <w:t>-galvanised as standard.</w:t>
      </w:r>
      <w:r w:rsidRPr="00C312A2">
        <w:rPr>
          <w:rFonts w:ascii="Arial" w:hAnsi="Arial" w:cs="Arial"/>
          <w:sz w:val="20"/>
          <w:szCs w:val="20"/>
        </w:rPr>
        <w:br/>
      </w:r>
      <w:r w:rsidRPr="00C312A2">
        <w:rPr>
          <w:rFonts w:ascii="Arial" w:hAnsi="Arial" w:cs="Arial"/>
          <w:sz w:val="20"/>
          <w:szCs w:val="20"/>
        </w:rPr>
        <w:br/>
        <w:t>The DOOR is driven by a geared motor which has to be developed as high-frequency motor. The positions of the door are permanently detected by means of non-wearing, inductive proximity switches, with the limits being determined electronically. Electro-mechanical limit switches are not permissible here.</w:t>
      </w:r>
      <w:r w:rsidRPr="00C312A2">
        <w:rPr>
          <w:rFonts w:ascii="Arial" w:hAnsi="Arial" w:cs="Arial"/>
          <w:sz w:val="20"/>
          <w:szCs w:val="20"/>
        </w:rPr>
        <w:br/>
      </w:r>
      <w:r w:rsidRPr="00C312A2">
        <w:rPr>
          <w:rFonts w:ascii="Arial" w:hAnsi="Arial" w:cs="Arial"/>
          <w:sz w:val="20"/>
          <w:szCs w:val="20"/>
        </w:rPr>
        <w:br/>
      </w:r>
      <w:r w:rsidRPr="00C312A2">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C312A2">
        <w:rPr>
          <w:rFonts w:ascii="Arial" w:hAnsi="Arial" w:cs="Arial"/>
          <w:b/>
          <w:bCs/>
          <w:sz w:val="20"/>
          <w:szCs w:val="20"/>
        </w:rPr>
        <w:t>up to approx. 1.5 m/s</w:t>
      </w:r>
      <w:r w:rsidRPr="00C312A2">
        <w:rPr>
          <w:rFonts w:ascii="Arial" w:hAnsi="Arial" w:cs="Arial"/>
          <w:b/>
          <w:bCs/>
          <w:sz w:val="20"/>
          <w:szCs w:val="20"/>
        </w:rPr>
        <w:br/>
        <w:t xml:space="preserve">Max. DOOR LEAF SPEED: </w:t>
      </w:r>
      <w:r>
        <w:rPr>
          <w:rFonts w:ascii="Arial" w:hAnsi="Arial" w:cs="Arial"/>
          <w:b/>
          <w:bCs/>
          <w:sz w:val="20"/>
          <w:szCs w:val="20"/>
        </w:rPr>
        <w:tab/>
      </w:r>
      <w:r w:rsidRPr="00C312A2">
        <w:rPr>
          <w:rFonts w:ascii="Arial" w:hAnsi="Arial" w:cs="Arial"/>
          <w:b/>
          <w:bCs/>
          <w:sz w:val="20"/>
          <w:szCs w:val="20"/>
        </w:rPr>
        <w:t>up to approx. 2.0 m/s</w:t>
      </w:r>
      <w:r w:rsidRPr="00C312A2">
        <w:rPr>
          <w:rFonts w:ascii="Arial" w:hAnsi="Arial" w:cs="Arial"/>
          <w:b/>
          <w:bCs/>
          <w:sz w:val="20"/>
          <w:szCs w:val="20"/>
        </w:rPr>
        <w:br/>
        <w:t>(depending on door size)</w:t>
      </w:r>
      <w:r w:rsidRPr="00C312A2">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C312A2">
        <w:rPr>
          <w:rFonts w:ascii="Arial" w:hAnsi="Arial" w:cs="Arial"/>
          <w:b/>
          <w:bCs/>
          <w:sz w:val="20"/>
          <w:szCs w:val="20"/>
        </w:rPr>
        <w:t>up to approx. 0.75 m/s</w:t>
      </w:r>
      <w:r w:rsidRPr="00C312A2">
        <w:rPr>
          <w:rFonts w:ascii="Arial" w:hAnsi="Arial" w:cs="Arial"/>
          <w:b/>
          <w:bCs/>
          <w:sz w:val="20"/>
          <w:szCs w:val="20"/>
        </w:rPr>
        <w:br/>
      </w:r>
      <w:r w:rsidRPr="00C312A2">
        <w:rPr>
          <w:rFonts w:ascii="Arial" w:hAnsi="Arial" w:cs="Arial"/>
          <w:sz w:val="20"/>
          <w:szCs w:val="20"/>
        </w:rPr>
        <w:br/>
        <w:t xml:space="preserve">The </w:t>
      </w:r>
      <w:r w:rsidRPr="00C312A2">
        <w:rPr>
          <w:rFonts w:ascii="Arial" w:hAnsi="Arial" w:cs="Arial"/>
          <w:b/>
          <w:bCs/>
          <w:sz w:val="20"/>
          <w:szCs w:val="20"/>
        </w:rPr>
        <w:t>MICROPROCESSOR CONTROL</w:t>
      </w:r>
      <w:r w:rsidRPr="00C312A2">
        <w:rPr>
          <w:rFonts w:ascii="Arial" w:hAnsi="Arial" w:cs="Arial"/>
          <w:sz w:val="20"/>
          <w:szCs w:val="20"/>
        </w:rPr>
        <w:t xml:space="preserve"> is installed together with the integrated frequency converter in a separate plastic switch cabinet, protection type IP 65. Connection to 230V / 50 Hz power supply on-site.</w:t>
      </w:r>
      <w:r w:rsidRPr="00C312A2">
        <w:rPr>
          <w:rFonts w:ascii="Arial" w:hAnsi="Arial" w:cs="Arial"/>
          <w:sz w:val="20"/>
          <w:szCs w:val="20"/>
        </w:rPr>
        <w:br/>
      </w:r>
      <w:r w:rsidRPr="00C312A2">
        <w:rPr>
          <w:rFonts w:ascii="Arial" w:hAnsi="Arial" w:cs="Arial"/>
          <w:sz w:val="20"/>
          <w:szCs w:val="20"/>
        </w:rPr>
        <w:br/>
        <w:t>The scope of delivery includes an electric Safety contact edge, self-monitoring according to DIN EN 12453: Its connection cable must be guided in a protective energy chain within the door frame.</w:t>
      </w:r>
      <w:r w:rsidRPr="00C312A2">
        <w:rPr>
          <w:rFonts w:ascii="Arial" w:hAnsi="Arial" w:cs="Arial"/>
          <w:sz w:val="20"/>
          <w:szCs w:val="20"/>
        </w:rPr>
        <w:br/>
      </w:r>
      <w:r w:rsidRPr="00C312A2">
        <w:rPr>
          <w:rFonts w:ascii="Arial" w:hAnsi="Arial" w:cs="Arial"/>
          <w:sz w:val="20"/>
          <w:szCs w:val="20"/>
        </w:rPr>
        <w:br/>
        <w:t>Regulations pursuant to DIN EN 13241-1 are complied with;</w:t>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t>for clear opening dimensions</w:t>
      </w:r>
      <w:r w:rsidRPr="00C312A2">
        <w:rPr>
          <w:rFonts w:ascii="Arial" w:hAnsi="Arial" w:cs="Arial"/>
          <w:sz w:val="20"/>
          <w:szCs w:val="20"/>
        </w:rPr>
        <w:br/>
      </w:r>
      <w:r w:rsidRPr="00C312A2">
        <w:rPr>
          <w:rFonts w:ascii="Arial" w:hAnsi="Arial" w:cs="Arial"/>
          <w:sz w:val="20"/>
          <w:szCs w:val="20"/>
        </w:rPr>
        <w:br/>
        <w:t>Width = ............... mm  x  Height = ............... mm</w:t>
      </w:r>
      <w:r w:rsidRPr="00C312A2">
        <w:rPr>
          <w:rFonts w:ascii="Arial" w:hAnsi="Arial" w:cs="Arial"/>
          <w:sz w:val="20"/>
          <w:szCs w:val="20"/>
        </w:rPr>
        <w:br/>
      </w:r>
      <w:r w:rsidRPr="00C312A2">
        <w:rPr>
          <w:rFonts w:ascii="Arial" w:hAnsi="Arial" w:cs="Arial"/>
          <w:sz w:val="20"/>
          <w:szCs w:val="20"/>
        </w:rPr>
        <w:br/>
        <w:t>Manufacturer:</w:t>
      </w:r>
      <w:r w:rsidRPr="00C312A2">
        <w:rPr>
          <w:rFonts w:ascii="Arial" w:hAnsi="Arial" w:cs="Arial"/>
          <w:sz w:val="20"/>
          <w:szCs w:val="20"/>
        </w:rPr>
        <w:br/>
        <w:t xml:space="preserve">EFAFLEX Tor- und </w:t>
      </w:r>
      <w:proofErr w:type="spellStart"/>
      <w:r w:rsidRPr="00C312A2">
        <w:rPr>
          <w:rFonts w:ascii="Arial" w:hAnsi="Arial" w:cs="Arial"/>
          <w:sz w:val="20"/>
          <w:szCs w:val="20"/>
        </w:rPr>
        <w:t>Sicherheitssysteme</w:t>
      </w:r>
      <w:proofErr w:type="spellEnd"/>
      <w:r w:rsidRPr="00C312A2">
        <w:rPr>
          <w:rFonts w:ascii="Arial" w:hAnsi="Arial" w:cs="Arial"/>
          <w:sz w:val="20"/>
          <w:szCs w:val="20"/>
        </w:rPr>
        <w:t xml:space="preserve"> GmbH &amp; Co. KG</w:t>
      </w:r>
      <w:r w:rsidRPr="00C312A2">
        <w:rPr>
          <w:rFonts w:ascii="Arial" w:hAnsi="Arial" w:cs="Arial"/>
          <w:sz w:val="20"/>
          <w:szCs w:val="20"/>
        </w:rPr>
        <w:br/>
        <w:t>www.efaflex.com</w:t>
      </w:r>
      <w:r w:rsidRPr="00C312A2">
        <w:rPr>
          <w:rFonts w:ascii="Arial" w:hAnsi="Arial" w:cs="Arial"/>
          <w:sz w:val="20"/>
          <w:szCs w:val="20"/>
        </w:rPr>
        <w:br/>
      </w:r>
      <w:r w:rsidRPr="00C312A2">
        <w:rPr>
          <w:rFonts w:ascii="Arial" w:hAnsi="Arial" w:cs="Arial"/>
          <w:sz w:val="20"/>
          <w:szCs w:val="20"/>
        </w:rPr>
        <w:br/>
      </w:r>
      <w:r w:rsidRPr="00C312A2">
        <w:rPr>
          <w:rFonts w:ascii="Arial" w:hAnsi="Arial" w:cs="Arial"/>
          <w:b/>
          <w:bCs/>
          <w:sz w:val="20"/>
          <w:szCs w:val="20"/>
          <w:u w:val="single"/>
        </w:rPr>
        <w:t>OPTIONS for high-speed roll-up door, type “EFA-SRT®-ECO”</w:t>
      </w:r>
      <w:r w:rsidRPr="00C312A2">
        <w:rPr>
          <w:rFonts w:ascii="Arial" w:hAnsi="Arial" w:cs="Arial"/>
          <w:b/>
          <w:bCs/>
          <w:sz w:val="20"/>
          <w:szCs w:val="20"/>
          <w:u w:val="single"/>
        </w:rPr>
        <w:br/>
      </w:r>
      <w:r w:rsidRPr="00C312A2">
        <w:rPr>
          <w:rFonts w:ascii="Arial" w:hAnsi="Arial" w:cs="Arial"/>
          <w:sz w:val="20"/>
          <w:szCs w:val="20"/>
        </w:rPr>
        <w:br/>
      </w:r>
      <w:r w:rsidRPr="00C312A2">
        <w:rPr>
          <w:rFonts w:ascii="Arial" w:hAnsi="Arial" w:cs="Arial"/>
          <w:b/>
          <w:bCs/>
          <w:sz w:val="20"/>
          <w:szCs w:val="20"/>
        </w:rPr>
        <w:t>Lining of the winding shaft/motor:</w:t>
      </w:r>
      <w:r w:rsidRPr="00C312A2">
        <w:rPr>
          <w:rFonts w:ascii="Arial" w:hAnsi="Arial" w:cs="Arial"/>
          <w:sz w:val="20"/>
          <w:szCs w:val="20"/>
        </w:rPr>
        <w:br/>
        <w:t>Motor covering</w:t>
      </w:r>
      <w:r w:rsidRPr="00C312A2">
        <w:rPr>
          <w:rFonts w:ascii="Arial" w:hAnsi="Arial" w:cs="Arial"/>
          <w:sz w:val="20"/>
          <w:szCs w:val="20"/>
        </w:rPr>
        <w:br/>
        <w:t>complete covering over motor and shaft</w:t>
      </w:r>
      <w:r w:rsidRPr="00C312A2">
        <w:rPr>
          <w:rFonts w:ascii="Arial" w:hAnsi="Arial" w:cs="Arial"/>
          <w:sz w:val="20"/>
          <w:szCs w:val="20"/>
        </w:rPr>
        <w:br/>
      </w:r>
      <w:r w:rsidRPr="00C312A2">
        <w:rPr>
          <w:rFonts w:ascii="Arial" w:hAnsi="Arial" w:cs="Arial"/>
          <w:sz w:val="20"/>
          <w:szCs w:val="20"/>
        </w:rPr>
        <w:br/>
        <w:t>Surface</w:t>
      </w:r>
      <w:r w:rsidRPr="00C312A2">
        <w:rPr>
          <w:rFonts w:ascii="Arial" w:hAnsi="Arial" w:cs="Arial"/>
          <w:sz w:val="20"/>
          <w:szCs w:val="20"/>
        </w:rPr>
        <w:br/>
        <w:t xml:space="preserve">Powder coating of all galvanised steel parts in a colour according to RAL __________ </w:t>
      </w:r>
      <w:r w:rsidRPr="00C312A2">
        <w:rPr>
          <w:rFonts w:ascii="Arial" w:hAnsi="Arial" w:cs="Arial"/>
          <w:sz w:val="20"/>
          <w:szCs w:val="20"/>
        </w:rPr>
        <w:br/>
        <w:t>(pearl, luminous and metallic colours not possible)</w:t>
      </w:r>
      <w:r w:rsidRPr="00C312A2">
        <w:rPr>
          <w:rFonts w:ascii="Arial" w:hAnsi="Arial" w:cs="Arial"/>
          <w:sz w:val="20"/>
          <w:szCs w:val="20"/>
        </w:rPr>
        <w:br/>
      </w:r>
      <w:r w:rsidRPr="00C312A2">
        <w:rPr>
          <w:rFonts w:ascii="Arial" w:hAnsi="Arial" w:cs="Arial"/>
          <w:sz w:val="20"/>
          <w:szCs w:val="20"/>
        </w:rPr>
        <w:br/>
        <w:t>or</w:t>
      </w:r>
      <w:r w:rsidRPr="00C312A2">
        <w:rPr>
          <w:rFonts w:ascii="Arial" w:hAnsi="Arial" w:cs="Arial"/>
          <w:sz w:val="20"/>
          <w:szCs w:val="20"/>
        </w:rPr>
        <w:br/>
      </w:r>
      <w:r w:rsidRPr="00C312A2">
        <w:rPr>
          <w:rFonts w:ascii="Arial" w:hAnsi="Arial" w:cs="Arial"/>
          <w:sz w:val="20"/>
          <w:szCs w:val="20"/>
        </w:rPr>
        <w:br/>
        <w:t>stainless steel version (V2A) of all visible steel parts, visible surface polished, coarseness 220,</w:t>
      </w:r>
      <w:r w:rsidRPr="00C312A2">
        <w:rPr>
          <w:rFonts w:ascii="Arial" w:hAnsi="Arial" w:cs="Arial"/>
          <w:sz w:val="20"/>
          <w:szCs w:val="20"/>
        </w:rPr>
        <w:br/>
        <w:t>incl. switch cabinet made of V2A, e.g. for steaming</w:t>
      </w:r>
      <w:r w:rsidRPr="00C312A2">
        <w:rPr>
          <w:rFonts w:ascii="Arial" w:hAnsi="Arial" w:cs="Arial"/>
          <w:sz w:val="20"/>
          <w:szCs w:val="20"/>
        </w:rPr>
        <w:br/>
      </w:r>
    </w:p>
    <w:p w14:paraId="24808B27" w14:textId="04153663" w:rsidR="00C312A2" w:rsidRPr="00C312A2" w:rsidRDefault="00C312A2" w:rsidP="00C312A2">
      <w:pPr>
        <w:pStyle w:val="KeinLeerraum"/>
        <w:rPr>
          <w:rFonts w:ascii="Arial" w:hAnsi="Arial" w:cs="Arial"/>
          <w:sz w:val="20"/>
          <w:szCs w:val="20"/>
        </w:rPr>
      </w:pPr>
      <w:r w:rsidRPr="00C312A2">
        <w:rPr>
          <w:rFonts w:ascii="Arial" w:hAnsi="Arial" w:cs="Arial"/>
          <w:b/>
          <w:bCs/>
          <w:sz w:val="20"/>
          <w:szCs w:val="20"/>
        </w:rPr>
        <w:lastRenderedPageBreak/>
        <w:t>Crash version:</w:t>
      </w:r>
      <w:r w:rsidRPr="00C312A2">
        <w:rPr>
          <w:rFonts w:ascii="Arial" w:hAnsi="Arial" w:cs="Arial"/>
          <w:sz w:val="20"/>
          <w:szCs w:val="20"/>
        </w:rPr>
        <w:br/>
      </w:r>
      <w:r w:rsidRPr="00C312A2">
        <w:rPr>
          <w:rFonts w:ascii="Arial" w:hAnsi="Arial" w:cs="Arial"/>
          <w:sz w:val="20"/>
          <w:szCs w:val="20"/>
        </w:rPr>
        <w:br/>
        <w:t xml:space="preserve">Surcharge for special displacement mechanism at the bottom section </w:t>
      </w:r>
      <w:proofErr w:type="gramStart"/>
      <w:r w:rsidRPr="00C312A2">
        <w:rPr>
          <w:rFonts w:ascii="Arial" w:hAnsi="Arial" w:cs="Arial"/>
          <w:sz w:val="20"/>
          <w:szCs w:val="20"/>
        </w:rPr>
        <w:t>in order to</w:t>
      </w:r>
      <w:proofErr w:type="gramEnd"/>
      <w:r w:rsidRPr="00C312A2">
        <w:rPr>
          <w:rFonts w:ascii="Arial" w:hAnsi="Arial" w:cs="Arial"/>
          <w:sz w:val="20"/>
          <w:szCs w:val="20"/>
        </w:rPr>
        <w:t xml:space="preserve"> avoid unintentional starting-up. In the case of an unintentional collision, the bottom end shield can be pushed out of the guides on both sides. Switches which are arranged on both sides will then report the “crash” to the control so that the door operation is stopped immediately. After manually </w:t>
      </w:r>
      <w:proofErr w:type="spellStart"/>
      <w:r w:rsidRPr="00C312A2">
        <w:rPr>
          <w:rFonts w:ascii="Arial" w:hAnsi="Arial" w:cs="Arial"/>
          <w:sz w:val="20"/>
          <w:szCs w:val="20"/>
        </w:rPr>
        <w:t>reguiding</w:t>
      </w:r>
      <w:proofErr w:type="spellEnd"/>
      <w:r w:rsidRPr="00C312A2">
        <w:rPr>
          <w:rFonts w:ascii="Arial" w:hAnsi="Arial" w:cs="Arial"/>
          <w:sz w:val="20"/>
          <w:szCs w:val="20"/>
        </w:rPr>
        <w:t xml:space="preserve"> the bottom end shield again, and after acknowledging at the switch cabinet, automatic operation can be restarted. With this door variant the signals of the crash switches and the contact edge are sent to the control via remote impulse. (A spiral shape cable connected to the door blade is not wanted)</w:t>
      </w:r>
      <w:r w:rsidRPr="00C312A2">
        <w:rPr>
          <w:rFonts w:ascii="Arial" w:hAnsi="Arial" w:cs="Arial"/>
          <w:sz w:val="20"/>
          <w:szCs w:val="20"/>
        </w:rPr>
        <w:br/>
      </w:r>
      <w:r w:rsidRPr="00C312A2">
        <w:rPr>
          <w:rFonts w:ascii="Arial" w:hAnsi="Arial" w:cs="Arial"/>
          <w:sz w:val="20"/>
          <w:szCs w:val="20"/>
        </w:rPr>
        <w:br/>
      </w:r>
      <w:r w:rsidRPr="00C312A2">
        <w:rPr>
          <w:rFonts w:ascii="Arial" w:hAnsi="Arial" w:cs="Arial"/>
          <w:b/>
          <w:bCs/>
          <w:sz w:val="20"/>
          <w:szCs w:val="20"/>
        </w:rPr>
        <w:t>If necessary:</w:t>
      </w:r>
      <w:r w:rsidRPr="00C312A2">
        <w:rPr>
          <w:rFonts w:ascii="Arial" w:hAnsi="Arial" w:cs="Arial"/>
          <w:sz w:val="20"/>
          <w:szCs w:val="20"/>
        </w:rPr>
        <w:br/>
        <w:t>Automatic interim stop at a height of H = ___________ mm</w:t>
      </w:r>
      <w:r w:rsidRPr="00C312A2">
        <w:rPr>
          <w:rFonts w:ascii="Arial" w:hAnsi="Arial" w:cs="Arial"/>
          <w:sz w:val="20"/>
          <w:szCs w:val="20"/>
        </w:rPr>
        <w:br/>
      </w:r>
      <w:r w:rsidRPr="00C312A2">
        <w:rPr>
          <w:rFonts w:ascii="Arial" w:hAnsi="Arial" w:cs="Arial"/>
          <w:sz w:val="20"/>
          <w:szCs w:val="20"/>
        </w:rPr>
        <w:br/>
      </w:r>
      <w:r w:rsidRPr="00C312A2">
        <w:rPr>
          <w:rFonts w:ascii="Arial" w:hAnsi="Arial" w:cs="Arial"/>
          <w:b/>
          <w:bCs/>
          <w:sz w:val="20"/>
          <w:szCs w:val="20"/>
        </w:rPr>
        <w:t>Special curtains:</w:t>
      </w:r>
      <w:r w:rsidRPr="00C312A2">
        <w:rPr>
          <w:rFonts w:ascii="Arial" w:hAnsi="Arial" w:cs="Arial"/>
          <w:sz w:val="20"/>
          <w:szCs w:val="20"/>
        </w:rPr>
        <w:br/>
        <w:t>polyester fibre 2.0 mm thick, transversely stable, FDA approved</w:t>
      </w:r>
      <w:r w:rsidRPr="00C312A2">
        <w:rPr>
          <w:rFonts w:ascii="Arial" w:hAnsi="Arial" w:cs="Arial"/>
          <w:sz w:val="20"/>
          <w:szCs w:val="20"/>
        </w:rPr>
        <w:br/>
        <w:t xml:space="preserve">red / orange / yellow: non-antistatic, silicone free </w:t>
      </w:r>
      <w:r w:rsidRPr="00C312A2">
        <w:rPr>
          <w:rFonts w:ascii="Arial" w:hAnsi="Arial" w:cs="Arial"/>
          <w:sz w:val="20"/>
          <w:szCs w:val="20"/>
        </w:rPr>
        <w:br/>
        <w:t>blue / grey-white: antistatic, silicone-free,</w:t>
      </w:r>
      <w:r w:rsidRPr="00C312A2">
        <w:rPr>
          <w:rFonts w:ascii="Arial" w:hAnsi="Arial" w:cs="Arial"/>
          <w:sz w:val="20"/>
          <w:szCs w:val="20"/>
        </w:rPr>
        <w:br/>
      </w:r>
      <w:r w:rsidRPr="00C312A2">
        <w:rPr>
          <w:rFonts w:ascii="Arial" w:hAnsi="Arial" w:cs="Arial"/>
          <w:sz w:val="20"/>
          <w:szCs w:val="20"/>
        </w:rPr>
        <w:br/>
        <w:t>as above, but</w:t>
      </w:r>
      <w:r w:rsidRPr="00C312A2">
        <w:rPr>
          <w:rFonts w:ascii="Arial" w:hAnsi="Arial" w:cs="Arial"/>
          <w:sz w:val="20"/>
          <w:szCs w:val="20"/>
        </w:rPr>
        <w:br/>
      </w:r>
      <w:r w:rsidRPr="00C312A2">
        <w:rPr>
          <w:rFonts w:ascii="Arial" w:hAnsi="Arial" w:cs="Arial"/>
          <w:sz w:val="20"/>
          <w:szCs w:val="20"/>
        </w:rPr>
        <w:br/>
        <w:t>with transparent window made of fully transparent PVC</w:t>
      </w:r>
      <w:r w:rsidRPr="00C312A2">
        <w:rPr>
          <w:rFonts w:ascii="Arial" w:hAnsi="Arial" w:cs="Arial"/>
          <w:sz w:val="20"/>
          <w:szCs w:val="20"/>
        </w:rPr>
        <w:br/>
        <w:t>(in the case of door curtain with window only partly antistatic and partly</w:t>
      </w:r>
      <w:r w:rsidRPr="00C312A2">
        <w:rPr>
          <w:rFonts w:ascii="Arial" w:hAnsi="Arial" w:cs="Arial"/>
          <w:sz w:val="20"/>
          <w:szCs w:val="20"/>
        </w:rPr>
        <w:br/>
        <w:t>approved for the food industry)</w:t>
      </w:r>
      <w:r w:rsidRPr="00C312A2">
        <w:rPr>
          <w:rFonts w:ascii="Arial" w:hAnsi="Arial" w:cs="Arial"/>
          <w:sz w:val="20"/>
          <w:szCs w:val="20"/>
        </w:rPr>
        <w:br/>
      </w:r>
      <w:r w:rsidRPr="00C312A2">
        <w:rPr>
          <w:rFonts w:ascii="Arial" w:hAnsi="Arial" w:cs="Arial"/>
          <w:sz w:val="20"/>
          <w:szCs w:val="20"/>
        </w:rPr>
        <w:br/>
      </w:r>
      <w:r w:rsidRPr="00C312A2">
        <w:rPr>
          <w:rFonts w:ascii="Arial" w:hAnsi="Arial" w:cs="Arial"/>
          <w:b/>
          <w:bCs/>
          <w:sz w:val="20"/>
          <w:szCs w:val="20"/>
        </w:rPr>
        <w:t>Option:</w:t>
      </w:r>
      <w:r w:rsidRPr="00C312A2">
        <w:rPr>
          <w:rFonts w:ascii="Arial" w:hAnsi="Arial" w:cs="Arial"/>
          <w:sz w:val="20"/>
          <w:szCs w:val="20"/>
        </w:rPr>
        <w:br/>
        <w:t xml:space="preserve">polyester fibre 2.0 mm thick, black-grey, transversely stable, urethane-impregnated, </w:t>
      </w:r>
      <w:r w:rsidRPr="00C312A2">
        <w:rPr>
          <w:rFonts w:ascii="Arial" w:hAnsi="Arial" w:cs="Arial"/>
          <w:sz w:val="20"/>
          <w:szCs w:val="20"/>
        </w:rPr>
        <w:br/>
        <w:t>fire resistance class B1 (SE) according to DIN EN 20340 antistatic, silicone-free</w:t>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r w:rsidRPr="00C312A2">
        <w:rPr>
          <w:rFonts w:ascii="Arial" w:hAnsi="Arial" w:cs="Arial"/>
          <w:sz w:val="20"/>
          <w:szCs w:val="20"/>
        </w:rPr>
        <w:br/>
      </w:r>
    </w:p>
    <w:p w14:paraId="6FAC5839" w14:textId="5ECE3662" w:rsidR="000B2019" w:rsidRPr="00C312A2" w:rsidRDefault="000B2019" w:rsidP="00332AA3">
      <w:pPr>
        <w:pStyle w:val="KeinLeerraum"/>
        <w:rPr>
          <w:rFonts w:ascii="Arial" w:hAnsi="Arial" w:cs="Arial"/>
          <w:sz w:val="20"/>
          <w:szCs w:val="20"/>
        </w:rPr>
      </w:pPr>
    </w:p>
    <w:sectPr w:rsidR="000B2019" w:rsidRPr="00C312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019"/>
    <w:rsid w:val="000B2019"/>
    <w:rsid w:val="00332AA3"/>
    <w:rsid w:val="003A57FE"/>
    <w:rsid w:val="0042261C"/>
    <w:rsid w:val="006241FE"/>
    <w:rsid w:val="007728B3"/>
    <w:rsid w:val="00C31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C68F"/>
  <w15:chartTrackingRefBased/>
  <w15:docId w15:val="{0646847F-E0B2-4CD6-8612-A6B5D7BF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57FE"/>
    <w:rPr>
      <w:color w:val="0563C1" w:themeColor="hyperlink"/>
      <w:u w:val="single"/>
    </w:rPr>
  </w:style>
  <w:style w:type="character" w:styleId="NichtaufgelsteErwhnung">
    <w:name w:val="Unresolved Mention"/>
    <w:basedOn w:val="Absatz-Standardschriftart"/>
    <w:uiPriority w:val="99"/>
    <w:semiHidden/>
    <w:unhideWhenUsed/>
    <w:rsid w:val="003A57FE"/>
    <w:rPr>
      <w:color w:val="605E5C"/>
      <w:shd w:val="clear" w:color="auto" w:fill="E1DFDD"/>
    </w:rPr>
  </w:style>
  <w:style w:type="paragraph" w:styleId="KeinLeerraum">
    <w:name w:val="No Spacing"/>
    <w:uiPriority w:val="1"/>
    <w:qFormat/>
    <w:rsid w:val="00332AA3"/>
    <w:pPr>
      <w:spacing w:after="0" w:line="240" w:lineRule="auto"/>
    </w:pPr>
  </w:style>
  <w:style w:type="table" w:styleId="Tabellenraster">
    <w:name w:val="Table Grid"/>
    <w:basedOn w:val="NormaleTabelle"/>
    <w:uiPriority w:val="39"/>
    <w:rsid w:val="00C3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00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3363</Characters>
  <Application>Microsoft Office Word</Application>
  <DocSecurity>0</DocSecurity>
  <Lines>28</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4</cp:revision>
  <dcterms:created xsi:type="dcterms:W3CDTF">2023-03-02T08:54:00Z</dcterms:created>
  <dcterms:modified xsi:type="dcterms:W3CDTF">2023-04-06T05:57:00Z</dcterms:modified>
</cp:coreProperties>
</file>