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55F41" w14:textId="0D2E8129" w:rsidR="00E6105B" w:rsidRPr="00E6105B" w:rsidRDefault="00E6105B" w:rsidP="00E73F89">
      <w:pPr>
        <w:autoSpaceDE w:val="0"/>
        <w:autoSpaceDN w:val="0"/>
        <w:adjustRightInd w:val="0"/>
        <w:spacing w:after="0"/>
        <w:rPr>
          <w:rFonts w:ascii="Arial" w:hAnsi="Arial" w:cs="Arial"/>
          <w:b/>
          <w:bCs/>
          <w:sz w:val="28"/>
          <w:szCs w:val="28"/>
          <w:lang w:val="fr-FR"/>
        </w:rPr>
      </w:pPr>
      <w:r w:rsidRPr="00E6105B">
        <w:rPr>
          <w:rFonts w:ascii="Arial" w:hAnsi="Arial" w:cs="Arial"/>
          <w:b/>
          <w:bCs/>
          <w:sz w:val="28"/>
          <w:szCs w:val="28"/>
          <w:lang w:val="fr-FR"/>
        </w:rPr>
        <w:t xml:space="preserve">PORTE RULANTE RAPIDE, </w:t>
      </w:r>
      <w:r>
        <w:rPr>
          <w:rFonts w:ascii="Arial" w:hAnsi="Arial" w:cs="Arial"/>
          <w:b/>
          <w:bCs/>
          <w:sz w:val="28"/>
          <w:szCs w:val="28"/>
          <w:lang w:val="fr-FR"/>
        </w:rPr>
        <w:t>T</w:t>
      </w:r>
      <w:r w:rsidRPr="00E6105B">
        <w:rPr>
          <w:rFonts w:ascii="Arial" w:hAnsi="Arial" w:cs="Arial"/>
          <w:b/>
          <w:bCs/>
          <w:sz w:val="28"/>
          <w:szCs w:val="28"/>
          <w:lang w:val="fr-FR"/>
        </w:rPr>
        <w:t>ype « EFA-SRT</w:t>
      </w:r>
      <w:r w:rsidRPr="00E6105B">
        <w:rPr>
          <w:rFonts w:ascii="Arial" w:hAnsi="Arial" w:cs="Arial"/>
          <w:b/>
          <w:bCs/>
          <w:sz w:val="28"/>
          <w:szCs w:val="28"/>
          <w:vertAlign w:val="superscript"/>
          <w:lang w:val="fr-FR"/>
        </w:rPr>
        <w:t>®</w:t>
      </w:r>
      <w:r w:rsidRPr="00E6105B">
        <w:rPr>
          <w:rFonts w:ascii="Arial" w:hAnsi="Arial" w:cs="Arial"/>
          <w:b/>
          <w:bCs/>
          <w:sz w:val="28"/>
          <w:szCs w:val="28"/>
          <w:lang w:val="fr-FR"/>
        </w:rPr>
        <w:t>- FR » (issues de secours et voies d'évacuation)</w:t>
      </w:r>
    </w:p>
    <w:p w14:paraId="282B0837" w14:textId="77777777" w:rsidR="00E6105B" w:rsidRPr="00E6105B" w:rsidRDefault="00E6105B" w:rsidP="00E73F89">
      <w:pPr>
        <w:autoSpaceDE w:val="0"/>
        <w:autoSpaceDN w:val="0"/>
        <w:adjustRightInd w:val="0"/>
        <w:spacing w:after="0"/>
        <w:rPr>
          <w:rFonts w:ascii="Arial" w:hAnsi="Arial" w:cs="Arial"/>
          <w:b/>
          <w:bCs/>
          <w:sz w:val="28"/>
          <w:szCs w:val="28"/>
          <w:lang w:val="fr-FR"/>
        </w:rPr>
      </w:pPr>
    </w:p>
    <w:p w14:paraId="019EB520" w14:textId="6935A790" w:rsidR="00E73F89" w:rsidRPr="000A6355" w:rsidRDefault="000A6355" w:rsidP="00E73F89">
      <w:pPr>
        <w:autoSpaceDE w:val="0"/>
        <w:autoSpaceDN w:val="0"/>
        <w:adjustRightInd w:val="0"/>
        <w:spacing w:after="0" w:line="240" w:lineRule="auto"/>
        <w:rPr>
          <w:rFonts w:ascii="Arial" w:hAnsi="Arial" w:cs="Arial"/>
          <w:sz w:val="20"/>
          <w:szCs w:val="20"/>
          <w:lang w:val="fr-FR"/>
        </w:rPr>
      </w:pPr>
      <w:r w:rsidRPr="000A6355">
        <w:rPr>
          <w:rFonts w:ascii="Arial" w:hAnsi="Arial" w:cs="Arial"/>
          <w:b/>
          <w:bCs/>
          <w:sz w:val="20"/>
          <w:szCs w:val="20"/>
          <w:lang w:val="fr-FR"/>
        </w:rPr>
        <w:t>Porte roulante rapide de type « EFA-SRT</w:t>
      </w:r>
      <w:r w:rsidRPr="000A6355">
        <w:rPr>
          <w:rFonts w:ascii="Arial" w:hAnsi="Arial" w:cs="Arial"/>
          <w:b/>
          <w:bCs/>
          <w:sz w:val="20"/>
          <w:szCs w:val="20"/>
          <w:vertAlign w:val="superscript"/>
          <w:lang w:val="fr-FR"/>
        </w:rPr>
        <w:t>®</w:t>
      </w:r>
      <w:r w:rsidRPr="000A6355">
        <w:rPr>
          <w:rFonts w:ascii="Arial" w:hAnsi="Arial" w:cs="Arial"/>
          <w:b/>
          <w:bCs/>
          <w:sz w:val="20"/>
          <w:szCs w:val="20"/>
          <w:lang w:val="fr-FR"/>
        </w:rPr>
        <w:t>- FR »</w:t>
      </w:r>
      <w:r w:rsidRPr="000A6355">
        <w:rPr>
          <w:rFonts w:ascii="Arial" w:hAnsi="Arial" w:cs="Arial"/>
          <w:sz w:val="20"/>
          <w:szCs w:val="20"/>
          <w:lang w:val="fr-FR"/>
        </w:rPr>
        <w:t>, avec motorisation électromécanique haute performance pour une utilisation industrielle continue. Le système de porte dispose d'un certificat TÜV qui, en cas d'installation du système de porte dans des issues de secours et des voies d'évacuation, doit être présenté à l'autorité compétente en matière de construction. Un détecteur de mouvement sûr doit être prévu et installé dans le sens de la fuite.</w:t>
      </w:r>
    </w:p>
    <w:p w14:paraId="68C5E01D" w14:textId="77777777" w:rsidR="000A6355" w:rsidRPr="000A6355" w:rsidRDefault="000A6355" w:rsidP="00E73F89">
      <w:pPr>
        <w:autoSpaceDE w:val="0"/>
        <w:autoSpaceDN w:val="0"/>
        <w:adjustRightInd w:val="0"/>
        <w:spacing w:after="0" w:line="240" w:lineRule="auto"/>
        <w:rPr>
          <w:rFonts w:ascii="Arial" w:hAnsi="Arial" w:cs="Arial"/>
          <w:sz w:val="20"/>
          <w:szCs w:val="20"/>
          <w:lang w:val="fr-FR"/>
        </w:rPr>
      </w:pPr>
    </w:p>
    <w:p w14:paraId="22002EC9" w14:textId="77777777" w:rsidR="005D69DE" w:rsidRPr="005D69DE" w:rsidRDefault="005D69DE" w:rsidP="005D69DE">
      <w:pPr>
        <w:autoSpaceDE w:val="0"/>
        <w:autoSpaceDN w:val="0"/>
        <w:adjustRightInd w:val="0"/>
        <w:spacing w:after="0"/>
        <w:rPr>
          <w:rFonts w:ascii="Helvetica" w:hAnsi="Helvetica" w:cs="Helvetica"/>
          <w:sz w:val="20"/>
          <w:szCs w:val="20"/>
          <w:lang w:val="de-DE"/>
        </w:rPr>
      </w:pPr>
      <w:r w:rsidRPr="005D69DE">
        <w:rPr>
          <w:rFonts w:ascii="Arial" w:hAnsi="Arial" w:cs="Arial"/>
          <w:b/>
          <w:caps/>
          <w:szCs w:val="20"/>
          <w:lang w:val="de-DE"/>
        </w:rPr>
        <w:t xml:space="preserve">CARACTÉRISTIQUES TECHNIQUES </w:t>
      </w:r>
    </w:p>
    <w:p w14:paraId="7C4A526A" w14:textId="77777777" w:rsidR="005D69DE" w:rsidRPr="005D69DE" w:rsidRDefault="005D69DE" w:rsidP="005D69DE">
      <w:pPr>
        <w:pStyle w:val="Listenabsatz"/>
        <w:autoSpaceDE w:val="0"/>
        <w:autoSpaceDN w:val="0"/>
        <w:adjustRightInd w:val="0"/>
        <w:spacing w:after="0"/>
        <w:ind w:left="284"/>
        <w:rPr>
          <w:rFonts w:ascii="Helvetica" w:hAnsi="Helvetica" w:cs="Helvetica"/>
          <w:sz w:val="20"/>
          <w:szCs w:val="20"/>
          <w:lang w:val="de-DE"/>
        </w:rPr>
      </w:pPr>
    </w:p>
    <w:p w14:paraId="5477749E" w14:textId="77777777" w:rsidR="007C5006" w:rsidRDefault="005D69DE" w:rsidP="000D443F">
      <w:pPr>
        <w:pStyle w:val="Listenabsatz"/>
        <w:numPr>
          <w:ilvl w:val="0"/>
          <w:numId w:val="13"/>
        </w:numPr>
        <w:autoSpaceDE w:val="0"/>
        <w:autoSpaceDN w:val="0"/>
        <w:adjustRightInd w:val="0"/>
        <w:spacing w:after="0"/>
        <w:ind w:left="284" w:hanging="284"/>
        <w:rPr>
          <w:rFonts w:ascii="Helvetica" w:hAnsi="Helvetica" w:cs="Helvetica"/>
          <w:sz w:val="20"/>
          <w:szCs w:val="20"/>
          <w:lang w:val="fr-FR"/>
        </w:rPr>
      </w:pPr>
      <w:r w:rsidRPr="005D69DE">
        <w:rPr>
          <w:rFonts w:ascii="Helvetica" w:hAnsi="Helvetica" w:cs="Helvetica"/>
          <w:sz w:val="20"/>
          <w:szCs w:val="20"/>
          <w:lang w:val="fr-FR"/>
        </w:rPr>
        <w:t>Afin d'équilibrer le poids du tablier et d'ouvrir la porte (en cas d'urgence) en cas de panne de courant, un mécanisme spécial à ressort de traction doit être intégré dans les montants latéraux de la porte. Ce dispositif de contre-traction durable et facile d'entretien est obligatoire. Les constructions avec ressorts de torsion ne sont pas autorisées.</w:t>
      </w:r>
    </w:p>
    <w:p w14:paraId="71463B2B" w14:textId="77777777" w:rsidR="007C5006" w:rsidRDefault="007C5006" w:rsidP="007C5006">
      <w:pPr>
        <w:pStyle w:val="Listenabsatz"/>
        <w:autoSpaceDE w:val="0"/>
        <w:autoSpaceDN w:val="0"/>
        <w:adjustRightInd w:val="0"/>
        <w:spacing w:after="0"/>
        <w:ind w:left="284"/>
        <w:rPr>
          <w:rFonts w:ascii="Helvetica" w:hAnsi="Helvetica" w:cs="Helvetica"/>
          <w:sz w:val="20"/>
          <w:szCs w:val="20"/>
          <w:lang w:val="fr-FR"/>
        </w:rPr>
      </w:pPr>
    </w:p>
    <w:p w14:paraId="01264369" w14:textId="77777777" w:rsidR="007C5006" w:rsidRDefault="007C5006" w:rsidP="007C5006">
      <w:pPr>
        <w:pStyle w:val="Listenabsatz"/>
        <w:numPr>
          <w:ilvl w:val="0"/>
          <w:numId w:val="13"/>
        </w:numPr>
        <w:autoSpaceDE w:val="0"/>
        <w:autoSpaceDN w:val="0"/>
        <w:adjustRightInd w:val="0"/>
        <w:spacing w:after="0"/>
        <w:ind w:left="284" w:hanging="284"/>
        <w:rPr>
          <w:rFonts w:ascii="Helvetica" w:hAnsi="Helvetica" w:cs="Helvetica"/>
          <w:sz w:val="20"/>
          <w:szCs w:val="20"/>
          <w:lang w:val="fr-FR"/>
        </w:rPr>
      </w:pPr>
      <w:r w:rsidRPr="007C5006">
        <w:rPr>
          <w:rFonts w:ascii="Helvetica" w:hAnsi="Helvetica" w:cs="Helvetica"/>
          <w:sz w:val="20"/>
          <w:szCs w:val="20"/>
          <w:lang w:val="fr-FR"/>
        </w:rPr>
        <w:t>Tablier : standard en PVC de 2 mm d'épaisseur, entièrement transparent, guidé latéralement et enroulé sur un arbre horizontal ; tabliers en PVC généralement équipés de bandes d'avertissement verticales. Un système de tension du tablier sans entretien doit être prévu afin de maintenir le tablier sous tension permanente lors de la fermeture. De plus, les GUIDAGES LATÉRAUX doivent être équipés de dispositifs de guidage spéciaux afin de garantir un enroulement et un déroulement parfaits, même en cas de vent. Construction à cadre en acier entièrement étanche, galvanisée sendzimir de série.</w:t>
      </w:r>
    </w:p>
    <w:p w14:paraId="33F4B6F6" w14:textId="77777777" w:rsidR="007C5006" w:rsidRPr="007C5006" w:rsidRDefault="007C5006" w:rsidP="007C5006">
      <w:pPr>
        <w:pStyle w:val="Listenabsatz"/>
        <w:rPr>
          <w:rFonts w:ascii="Helvetica" w:hAnsi="Helvetica" w:cs="Helvetica"/>
          <w:sz w:val="20"/>
          <w:szCs w:val="20"/>
          <w:lang w:val="fr-FR"/>
        </w:rPr>
      </w:pPr>
    </w:p>
    <w:p w14:paraId="533F2DC8" w14:textId="3583176B" w:rsidR="00835783" w:rsidRDefault="007C5006" w:rsidP="007C5006">
      <w:pPr>
        <w:pStyle w:val="Listenabsatz"/>
        <w:numPr>
          <w:ilvl w:val="0"/>
          <w:numId w:val="13"/>
        </w:numPr>
        <w:autoSpaceDE w:val="0"/>
        <w:autoSpaceDN w:val="0"/>
        <w:adjustRightInd w:val="0"/>
        <w:spacing w:after="0"/>
        <w:ind w:left="284" w:hanging="284"/>
        <w:rPr>
          <w:rFonts w:ascii="Helvetica" w:hAnsi="Helvetica" w:cs="Helvetica"/>
          <w:sz w:val="20"/>
          <w:szCs w:val="20"/>
          <w:lang w:val="fr-FR"/>
        </w:rPr>
      </w:pPr>
      <w:r w:rsidRPr="007C5006">
        <w:rPr>
          <w:rFonts w:ascii="Helvetica" w:hAnsi="Helvetica" w:cs="Helvetica"/>
          <w:b/>
          <w:bCs/>
          <w:sz w:val="20"/>
          <w:szCs w:val="20"/>
          <w:lang w:val="fr-FR"/>
        </w:rPr>
        <w:t>L'ENTRAÎNEMENT DE LA PORTE</w:t>
      </w:r>
      <w:r w:rsidRPr="007C5006">
        <w:rPr>
          <w:rFonts w:ascii="Helvetica" w:hAnsi="Helvetica" w:cs="Helvetica"/>
          <w:sz w:val="20"/>
          <w:szCs w:val="20"/>
          <w:lang w:val="fr-FR"/>
        </w:rPr>
        <w:t xml:space="preserve"> s'effectue au moyen d'un moteur-frein à engrenages, qui doit être conçu comme un moteur à haute fréquence et disposer d'un frein à courant de travail. Les positions de la porte sont enregistrées en permanence à l'aide de détecteurs de proximité inductifs sans usure, les positions finales étant déterminées électroniquement. Les interrupteurs de fin de course électromécaniques ne sont pas autorisés à cet effet.</w:t>
      </w:r>
    </w:p>
    <w:p w14:paraId="3E974178" w14:textId="77777777" w:rsidR="007C5006" w:rsidRPr="007C5006" w:rsidRDefault="007C5006" w:rsidP="007C5006">
      <w:pPr>
        <w:autoSpaceDE w:val="0"/>
        <w:autoSpaceDN w:val="0"/>
        <w:adjustRightInd w:val="0"/>
        <w:spacing w:after="0"/>
        <w:rPr>
          <w:rFonts w:ascii="Helvetica" w:hAnsi="Helvetica" w:cs="Helvetica"/>
          <w:sz w:val="20"/>
          <w:szCs w:val="20"/>
          <w:lang w:val="fr-FR"/>
        </w:rPr>
      </w:pPr>
    </w:p>
    <w:p w14:paraId="6DAFE9F7" w14:textId="77777777" w:rsidR="00A8721E" w:rsidRDefault="00A8721E" w:rsidP="00C51724">
      <w:pPr>
        <w:pStyle w:val="Listenabsatz"/>
        <w:numPr>
          <w:ilvl w:val="0"/>
          <w:numId w:val="10"/>
        </w:numPr>
        <w:ind w:left="284" w:hanging="284"/>
        <w:rPr>
          <w:rFonts w:ascii="Arial" w:hAnsi="Arial" w:cs="Arial"/>
          <w:sz w:val="20"/>
          <w:szCs w:val="20"/>
          <w:lang w:val="fr-FR"/>
        </w:rPr>
      </w:pPr>
      <w:r w:rsidRPr="00A8721E">
        <w:rPr>
          <w:rFonts w:ascii="Arial" w:hAnsi="Arial" w:cs="Arial"/>
          <w:sz w:val="20"/>
          <w:szCs w:val="20"/>
          <w:lang w:val="fr-FR"/>
        </w:rPr>
        <w:t>Vitesse d'ouverture jusqu'à 1,6 m/s ; vitesse de fermeture jusqu'à 0,75 m/</w:t>
      </w:r>
      <w:r w:rsidRPr="00A8721E">
        <w:rPr>
          <w:rFonts w:ascii="Arial" w:hAnsi="Arial" w:cs="Arial"/>
          <w:sz w:val="20"/>
          <w:szCs w:val="20"/>
          <w:lang w:val="fr-FR"/>
        </w:rPr>
        <w:t>s</w:t>
      </w:r>
    </w:p>
    <w:p w14:paraId="3BF3E18A" w14:textId="77777777" w:rsidR="00A8721E" w:rsidRDefault="00A8721E" w:rsidP="00A8721E">
      <w:pPr>
        <w:pStyle w:val="Listenabsatz"/>
        <w:ind w:left="284"/>
        <w:rPr>
          <w:rFonts w:ascii="Arial" w:hAnsi="Arial" w:cs="Arial"/>
          <w:sz w:val="20"/>
          <w:szCs w:val="20"/>
          <w:lang w:val="fr-FR"/>
        </w:rPr>
      </w:pPr>
    </w:p>
    <w:p w14:paraId="6CC57EAB" w14:textId="63638675" w:rsidR="00CF014A" w:rsidRDefault="00A8721E" w:rsidP="00CF014A">
      <w:pPr>
        <w:pStyle w:val="Listenabsatz"/>
        <w:numPr>
          <w:ilvl w:val="0"/>
          <w:numId w:val="10"/>
        </w:numPr>
        <w:ind w:left="284" w:hanging="284"/>
        <w:rPr>
          <w:rFonts w:ascii="Arial" w:hAnsi="Arial" w:cs="Arial"/>
          <w:sz w:val="20"/>
          <w:szCs w:val="20"/>
          <w:lang w:val="fr-FR"/>
        </w:rPr>
      </w:pPr>
      <w:r w:rsidRPr="00A8721E">
        <w:rPr>
          <w:rFonts w:ascii="Arial" w:hAnsi="Arial" w:cs="Arial"/>
          <w:b/>
          <w:bCs/>
          <w:sz w:val="20"/>
          <w:szCs w:val="20"/>
          <w:lang w:val="fr-FR"/>
        </w:rPr>
        <w:t>La COMMANDE À MICROPROCESSEUR</w:t>
      </w:r>
      <w:r w:rsidRPr="00A8721E">
        <w:rPr>
          <w:rFonts w:ascii="Arial" w:hAnsi="Arial" w:cs="Arial"/>
          <w:sz w:val="20"/>
          <w:szCs w:val="20"/>
          <w:lang w:val="fr-FR"/>
        </w:rPr>
        <w:t xml:space="preserve"> est installée avec le convertisseur de fréquence intégré dans une armoire électrique séparée, indice de protection IP 65. Raccordement à l'alimentation électrique 230 V/50 Hz à fournir par le client. Une entrée supplémentaire doit être prévue pour le signal d'un système d'alarme incendie fourni par le client.</w:t>
      </w:r>
    </w:p>
    <w:p w14:paraId="425D3841" w14:textId="77777777" w:rsidR="00CF014A" w:rsidRPr="00CF014A" w:rsidRDefault="00CF014A" w:rsidP="00CF014A">
      <w:pPr>
        <w:pStyle w:val="Listenabsatz"/>
        <w:rPr>
          <w:rFonts w:ascii="Arial" w:hAnsi="Arial" w:cs="Arial"/>
          <w:sz w:val="20"/>
          <w:szCs w:val="20"/>
          <w:lang w:val="fr-FR"/>
        </w:rPr>
      </w:pPr>
    </w:p>
    <w:p w14:paraId="2FBC0BCC" w14:textId="77777777" w:rsidR="00CF014A" w:rsidRPr="00CF014A" w:rsidRDefault="00CF014A" w:rsidP="00CF014A">
      <w:pPr>
        <w:spacing w:after="240"/>
        <w:rPr>
          <w:rFonts w:ascii="Arial" w:hAnsi="Arial" w:cs="Arial"/>
          <w:sz w:val="20"/>
          <w:szCs w:val="20"/>
          <w:lang w:val="de-DE"/>
        </w:rPr>
      </w:pPr>
      <w:r w:rsidRPr="00CF014A">
        <w:rPr>
          <w:rFonts w:ascii="Arial" w:hAnsi="Arial" w:cs="Arial"/>
          <w:b/>
          <w:caps/>
          <w:szCs w:val="20"/>
          <w:lang w:val="fr-FR"/>
        </w:rPr>
        <w:t>PERFORMANCES (SELON L'ÉQUIPEMENT)</w:t>
      </w:r>
    </w:p>
    <w:p w14:paraId="06F78601" w14:textId="38A6E36A" w:rsidR="00E07C95" w:rsidRPr="008F58DC" w:rsidRDefault="00CF014A" w:rsidP="00E07C95">
      <w:pPr>
        <w:pStyle w:val="Listenabsatz"/>
        <w:numPr>
          <w:ilvl w:val="0"/>
          <w:numId w:val="11"/>
        </w:numPr>
        <w:spacing w:after="240"/>
        <w:ind w:left="357" w:hanging="357"/>
        <w:contextualSpacing w:val="0"/>
        <w:rPr>
          <w:rFonts w:ascii="Arial" w:hAnsi="Arial" w:cs="Arial"/>
          <w:sz w:val="20"/>
          <w:szCs w:val="20"/>
          <w:lang w:val="fr-FR"/>
        </w:rPr>
      </w:pPr>
      <w:r w:rsidRPr="008F58DC">
        <w:rPr>
          <w:rFonts w:ascii="Arial" w:hAnsi="Arial" w:cs="Arial"/>
          <w:sz w:val="20"/>
          <w:szCs w:val="20"/>
          <w:lang w:val="fr-FR"/>
        </w:rPr>
        <w:t>Résistance au vent</w:t>
      </w:r>
      <w:r w:rsidR="00E07C95" w:rsidRPr="008F58DC">
        <w:rPr>
          <w:rFonts w:ascii="Arial" w:hAnsi="Arial" w:cs="Arial"/>
          <w:sz w:val="20"/>
          <w:szCs w:val="20"/>
          <w:lang w:val="fr-FR"/>
        </w:rPr>
        <w:t xml:space="preserve">: DIN EN 12424, </w:t>
      </w:r>
      <w:r w:rsidR="008F58DC" w:rsidRPr="008F58DC">
        <w:rPr>
          <w:rFonts w:ascii="Arial" w:hAnsi="Arial" w:cs="Arial"/>
          <w:sz w:val="20"/>
          <w:szCs w:val="20"/>
          <w:lang w:val="fr-FR"/>
        </w:rPr>
        <w:t>jusqu'à la classe 3</w:t>
      </w:r>
    </w:p>
    <w:p w14:paraId="60DC87B0" w14:textId="1C4C6C39" w:rsidR="00E07C95" w:rsidRPr="007E5CD5" w:rsidRDefault="00BB4A69" w:rsidP="00E07C95">
      <w:pPr>
        <w:pStyle w:val="Listenabsatz"/>
        <w:numPr>
          <w:ilvl w:val="0"/>
          <w:numId w:val="11"/>
        </w:numPr>
        <w:spacing w:after="240"/>
        <w:ind w:left="357" w:hanging="357"/>
        <w:contextualSpacing w:val="0"/>
        <w:rPr>
          <w:rFonts w:ascii="Arial" w:hAnsi="Arial" w:cs="Arial"/>
          <w:sz w:val="20"/>
          <w:szCs w:val="20"/>
          <w:lang w:val="de-DE"/>
        </w:rPr>
      </w:pPr>
      <w:r w:rsidRPr="00BB4A69">
        <w:rPr>
          <w:rFonts w:ascii="Arial" w:hAnsi="Arial" w:cs="Arial"/>
          <w:sz w:val="20"/>
          <w:szCs w:val="20"/>
          <w:lang w:val="de-DE"/>
        </w:rPr>
        <w:t>Étanchéité</w:t>
      </w:r>
      <w:r w:rsidR="00E07C95" w:rsidRPr="007E5CD5">
        <w:rPr>
          <w:rFonts w:ascii="Arial" w:hAnsi="Arial" w:cs="Arial"/>
          <w:sz w:val="20"/>
          <w:szCs w:val="20"/>
          <w:lang w:val="de-DE"/>
        </w:rPr>
        <w:t xml:space="preserve">: DIN EN 12425, </w:t>
      </w:r>
      <w:r w:rsidRPr="00BB4A69">
        <w:rPr>
          <w:rFonts w:ascii="Arial" w:hAnsi="Arial" w:cs="Arial"/>
          <w:sz w:val="20"/>
          <w:szCs w:val="20"/>
          <w:lang w:val="de-DE"/>
        </w:rPr>
        <w:t>Classe 0</w:t>
      </w:r>
    </w:p>
    <w:p w14:paraId="074E550A" w14:textId="3E7EAB88" w:rsidR="00E07C95" w:rsidRPr="00BB4A69" w:rsidRDefault="00BB4A69" w:rsidP="00E07C95">
      <w:pPr>
        <w:pStyle w:val="Listenabsatz"/>
        <w:numPr>
          <w:ilvl w:val="0"/>
          <w:numId w:val="11"/>
        </w:numPr>
        <w:spacing w:after="240"/>
        <w:ind w:left="357" w:hanging="357"/>
        <w:contextualSpacing w:val="0"/>
        <w:rPr>
          <w:rFonts w:ascii="Arial" w:hAnsi="Arial" w:cs="Arial"/>
          <w:sz w:val="20"/>
          <w:szCs w:val="20"/>
          <w:lang w:val="fr-FR"/>
        </w:rPr>
      </w:pPr>
      <w:r w:rsidRPr="00BB4A69">
        <w:rPr>
          <w:rFonts w:ascii="Arial" w:hAnsi="Arial" w:cs="Arial"/>
          <w:sz w:val="20"/>
          <w:szCs w:val="20"/>
          <w:lang w:val="fr-FR"/>
        </w:rPr>
        <w:t>Perméabilité à l'air:</w:t>
      </w:r>
      <w:r w:rsidR="00E07C95" w:rsidRPr="00BB4A69">
        <w:rPr>
          <w:rFonts w:ascii="Arial" w:hAnsi="Arial" w:cs="Arial"/>
          <w:sz w:val="20"/>
          <w:szCs w:val="20"/>
          <w:lang w:val="fr-FR"/>
        </w:rPr>
        <w:t xml:space="preserve"> DIN EN 12426, </w:t>
      </w:r>
      <w:r w:rsidR="00DD750F" w:rsidRPr="00DD750F">
        <w:rPr>
          <w:rFonts w:ascii="Arial" w:hAnsi="Arial" w:cs="Arial"/>
          <w:sz w:val="20"/>
          <w:szCs w:val="20"/>
          <w:lang w:val="fr-FR"/>
        </w:rPr>
        <w:t>Classe 0</w:t>
      </w:r>
    </w:p>
    <w:p w14:paraId="7025077C" w14:textId="77777777" w:rsidR="00E07C95" w:rsidRPr="00BB4A69" w:rsidRDefault="00E07C95" w:rsidP="00E07C95">
      <w:pPr>
        <w:rPr>
          <w:rFonts w:ascii="Arial" w:hAnsi="Arial" w:cs="Arial"/>
          <w:b/>
          <w:caps/>
          <w:sz w:val="24"/>
          <w:lang w:val="fr-FR"/>
        </w:rPr>
      </w:pPr>
      <w:r w:rsidRPr="00BB4A69">
        <w:rPr>
          <w:rFonts w:ascii="Arial" w:hAnsi="Arial" w:cs="Arial"/>
          <w:b/>
          <w:caps/>
          <w:sz w:val="24"/>
          <w:lang w:val="fr-FR"/>
        </w:rPr>
        <w:br w:type="page"/>
      </w:r>
    </w:p>
    <w:p w14:paraId="5BE0364E" w14:textId="77777777" w:rsidR="00DE1AFD" w:rsidRPr="00DE1AFD" w:rsidRDefault="00DE1AFD" w:rsidP="00E07C95">
      <w:pPr>
        <w:rPr>
          <w:rFonts w:ascii="Arial" w:hAnsi="Arial" w:cs="Arial"/>
          <w:b/>
          <w:caps/>
          <w:sz w:val="24"/>
          <w:lang w:val="fr-FR"/>
        </w:rPr>
      </w:pPr>
      <w:r w:rsidRPr="00DE1AFD">
        <w:rPr>
          <w:rFonts w:ascii="Arial" w:hAnsi="Arial" w:cs="Arial"/>
          <w:b/>
          <w:caps/>
          <w:sz w:val="24"/>
          <w:lang w:val="fr-FR"/>
        </w:rPr>
        <w:lastRenderedPageBreak/>
        <w:t>Dimensions de l'ouverture libre</w:t>
      </w:r>
    </w:p>
    <w:p w14:paraId="40447BEF" w14:textId="1DF012F5" w:rsidR="00E07C95" w:rsidRPr="00DE1AFD" w:rsidRDefault="00DE1AFD" w:rsidP="00E07C95">
      <w:pPr>
        <w:rPr>
          <w:rFonts w:ascii="Arial" w:hAnsi="Arial" w:cs="Arial"/>
          <w:lang w:val="fr-FR"/>
        </w:rPr>
      </w:pPr>
      <w:r>
        <w:rPr>
          <w:rFonts w:ascii="Arial" w:hAnsi="Arial" w:cs="Arial"/>
          <w:lang w:val="fr-FR"/>
        </w:rPr>
        <w:t>L</w:t>
      </w:r>
      <w:r w:rsidRPr="00DE1AFD">
        <w:rPr>
          <w:rFonts w:ascii="Arial" w:hAnsi="Arial" w:cs="Arial"/>
          <w:lang w:val="fr-FR"/>
        </w:rPr>
        <w:t>argeur</w:t>
      </w:r>
      <w:r w:rsidR="00E07C95" w:rsidRPr="00DE1AFD">
        <w:rPr>
          <w:rFonts w:ascii="Arial" w:hAnsi="Arial" w:cs="Arial"/>
          <w:lang w:val="fr-FR"/>
        </w:rPr>
        <w:t xml:space="preserve"> = ............... mm</w:t>
      </w:r>
    </w:p>
    <w:p w14:paraId="1E535133" w14:textId="1C974F16" w:rsidR="00E07C95" w:rsidRPr="00DE1AFD" w:rsidRDefault="00E07C95" w:rsidP="00E07C95">
      <w:pPr>
        <w:rPr>
          <w:rFonts w:ascii="Arial" w:hAnsi="Arial" w:cs="Arial"/>
          <w:lang w:val="fr-FR"/>
        </w:rPr>
      </w:pPr>
      <w:r w:rsidRPr="00DE1AFD">
        <w:rPr>
          <w:rFonts w:ascii="Arial" w:hAnsi="Arial" w:cs="Arial"/>
          <w:lang w:val="fr-FR"/>
        </w:rPr>
        <w:t>H</w:t>
      </w:r>
      <w:r w:rsidR="00DE1AFD" w:rsidRPr="00DE1AFD">
        <w:rPr>
          <w:rFonts w:ascii="Arial" w:hAnsi="Arial" w:cs="Arial"/>
          <w:lang w:val="fr-FR"/>
        </w:rPr>
        <w:t>auteur</w:t>
      </w:r>
      <w:r w:rsidR="00DE1AFD">
        <w:rPr>
          <w:rFonts w:ascii="Arial" w:hAnsi="Arial" w:cs="Arial"/>
          <w:lang w:val="fr-FR"/>
        </w:rPr>
        <w:t xml:space="preserve"> </w:t>
      </w:r>
      <w:r w:rsidRPr="00DE1AFD">
        <w:rPr>
          <w:rFonts w:ascii="Arial" w:hAnsi="Arial" w:cs="Arial"/>
          <w:lang w:val="fr-FR"/>
        </w:rPr>
        <w:t>= ............... mm</w:t>
      </w:r>
    </w:p>
    <w:p w14:paraId="7D5ECF0A" w14:textId="77777777" w:rsidR="00E07C95" w:rsidRPr="00DE1AFD" w:rsidRDefault="00E07C95" w:rsidP="00E07C95">
      <w:pPr>
        <w:rPr>
          <w:rFonts w:ascii="Arial" w:hAnsi="Arial" w:cs="Arial"/>
          <w:lang w:val="fr-FR"/>
        </w:rPr>
      </w:pPr>
    </w:p>
    <w:p w14:paraId="56842866" w14:textId="79DB656B" w:rsidR="008529A7" w:rsidRPr="00DE1AFD" w:rsidRDefault="008529A7" w:rsidP="00E07C95">
      <w:pPr>
        <w:rPr>
          <w:lang w:val="fr-FR"/>
        </w:rPr>
      </w:pPr>
    </w:p>
    <w:sectPr w:rsidR="008529A7" w:rsidRPr="00DE1AFD"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8A09" w14:textId="77777777" w:rsidR="0023782D" w:rsidRDefault="0023782D" w:rsidP="00E07C95">
      <w:pPr>
        <w:spacing w:after="0" w:line="240" w:lineRule="auto"/>
      </w:pPr>
      <w:r>
        <w:separator/>
      </w:r>
    </w:p>
  </w:endnote>
  <w:endnote w:type="continuationSeparator" w:id="0">
    <w:p w14:paraId="428E2E4D" w14:textId="77777777" w:rsidR="0023782D" w:rsidRDefault="0023782D"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2BD0325E" w:rsidR="00283AE2" w:rsidRDefault="00DD750F" w:rsidP="00DD750F">
    <w:pPr>
      <w:pStyle w:val="Fuzeile"/>
      <w:rPr>
        <w:rFonts w:ascii="Arial" w:hAnsi="Arial" w:cs="Arial"/>
        <w:sz w:val="20"/>
        <w:szCs w:val="20"/>
        <w:lang w:val="de-DE"/>
      </w:rPr>
    </w:pPr>
    <w:r>
      <w:rPr>
        <w:rFonts w:ascii="Arial" w:hAnsi="Arial" w:cs="Arial"/>
        <w:b/>
        <w:bCs/>
        <w:sz w:val="20"/>
        <w:szCs w:val="20"/>
        <w:lang w:val="de-DE"/>
      </w:rPr>
      <w:t>R</w:t>
    </w:r>
    <w:r w:rsidRPr="00DD750F">
      <w:rPr>
        <w:rFonts w:ascii="Arial" w:hAnsi="Arial" w:cs="Arial"/>
        <w:b/>
        <w:bCs/>
        <w:sz w:val="20"/>
        <w:szCs w:val="20"/>
        <w:lang w:val="de-DE"/>
      </w:rPr>
      <w:t>éférence du fabricant</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72E00318" w:rsidR="00283AE2" w:rsidRPr="00DD750F" w:rsidRDefault="00DD750F" w:rsidP="00DD750F">
    <w:pPr>
      <w:pStyle w:val="Fuzeile"/>
      <w:rPr>
        <w:rFonts w:ascii="Arial" w:hAnsi="Arial" w:cs="Arial"/>
        <w:sz w:val="20"/>
        <w:szCs w:val="20"/>
        <w:lang w:val="fr-FR"/>
      </w:rPr>
    </w:pPr>
    <w:r w:rsidRPr="00DD750F">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A963A" w14:textId="77777777" w:rsidR="0023782D" w:rsidRDefault="0023782D" w:rsidP="00E07C95">
      <w:pPr>
        <w:spacing w:after="0" w:line="240" w:lineRule="auto"/>
      </w:pPr>
      <w:r>
        <w:separator/>
      </w:r>
    </w:p>
  </w:footnote>
  <w:footnote w:type="continuationSeparator" w:id="0">
    <w:p w14:paraId="57803CA1" w14:textId="77777777" w:rsidR="0023782D" w:rsidRDefault="0023782D"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2F74E80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39E1B4E"/>
    <w:multiLevelType w:val="hybridMultilevel"/>
    <w:tmpl w:val="8612FD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601EF4"/>
    <w:multiLevelType w:val="hybridMultilevel"/>
    <w:tmpl w:val="D47EA5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2"/>
  </w:num>
  <w:num w:numId="12" w16cid:durableId="1863932260">
    <w:abstractNumId w:val="10"/>
  </w:num>
  <w:num w:numId="13" w16cid:durableId="12549752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952B1"/>
    <w:rsid w:val="000A6355"/>
    <w:rsid w:val="000D443F"/>
    <w:rsid w:val="0015074B"/>
    <w:rsid w:val="00173829"/>
    <w:rsid w:val="001813DB"/>
    <w:rsid w:val="00206645"/>
    <w:rsid w:val="0023782D"/>
    <w:rsid w:val="002442ED"/>
    <w:rsid w:val="00283AE2"/>
    <w:rsid w:val="0029639D"/>
    <w:rsid w:val="00326F90"/>
    <w:rsid w:val="00497CDC"/>
    <w:rsid w:val="004A3736"/>
    <w:rsid w:val="00512667"/>
    <w:rsid w:val="005D69DE"/>
    <w:rsid w:val="00683A9C"/>
    <w:rsid w:val="006C3CDC"/>
    <w:rsid w:val="0076425C"/>
    <w:rsid w:val="007A0B54"/>
    <w:rsid w:val="007C5006"/>
    <w:rsid w:val="00835783"/>
    <w:rsid w:val="008529A7"/>
    <w:rsid w:val="00882136"/>
    <w:rsid w:val="00896CE8"/>
    <w:rsid w:val="008B7D27"/>
    <w:rsid w:val="008F58DC"/>
    <w:rsid w:val="009675B6"/>
    <w:rsid w:val="00A8721E"/>
    <w:rsid w:val="00AA1D8D"/>
    <w:rsid w:val="00B47730"/>
    <w:rsid w:val="00BB4A69"/>
    <w:rsid w:val="00C51724"/>
    <w:rsid w:val="00CB0664"/>
    <w:rsid w:val="00CB15BC"/>
    <w:rsid w:val="00CC583D"/>
    <w:rsid w:val="00CF014A"/>
    <w:rsid w:val="00DD750F"/>
    <w:rsid w:val="00DE1AFD"/>
    <w:rsid w:val="00E07C95"/>
    <w:rsid w:val="00E6105B"/>
    <w:rsid w:val="00E73F89"/>
    <w:rsid w:val="00E83392"/>
    <w:rsid w:val="00EC1601"/>
    <w:rsid w:val="00EF32D1"/>
    <w:rsid w:val="00F94051"/>
    <w:rsid w:val="00FB1A8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342</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SRT-FR (280)</TermName>
          <TermId xmlns="http://schemas.microsoft.com/office/infopath/2007/PartnerControls">014b9ec5-2e85-422a-a8a2-d62156d8b4ec</TermId>
        </TermInfo>
      </Terms>
    </ic30b02f2e4442e282db724ab73aab5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www.w3.org/XML/1998/namespace"/>
    <ds:schemaRef ds:uri="6ad4aa7e-c367-41ad-8338-313dadb59002"/>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21d3f174-afc7-4cdc-a51d-00a52e5e880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8CF9CF97-296E-4224-8708-BA6F49396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23</cp:revision>
  <dcterms:created xsi:type="dcterms:W3CDTF">2025-07-16T09:14:00Z</dcterms:created>
  <dcterms:modified xsi:type="dcterms:W3CDTF">2025-09-03T10:11:00Z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342;#SRT-FR (280)|014b9ec5-2e85-422a-a8a2-d62156d8b4ec</vt:lpwstr>
  </property>
  <property fmtid="{D5CDD505-2E9C-101B-9397-08002B2CF9AE}" pid="10" name="EFAFLEX_x0020_Inhaltsverzeichnis">
    <vt:lpwstr>342;#SRT-FR (280)|014b9ec5-2e85-422a-a8a2-d62156d8b4ec</vt:lpwstr>
  </property>
</Properties>
</file>