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69D2F" w14:textId="0CE2DEF4" w:rsidR="00DE7D83" w:rsidRDefault="00DE7D83" w:rsidP="00DE7D8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  <w:lang w:val="en-GB"/>
        </w:rPr>
      </w:pPr>
      <w:r w:rsidRPr="00DE7D83">
        <w:rPr>
          <w:rFonts w:ascii="Arial" w:hAnsi="Arial" w:cs="Arial"/>
          <w:b/>
          <w:bCs/>
          <w:sz w:val="28"/>
          <w:szCs w:val="28"/>
          <w:lang w:val="en-GB"/>
        </w:rPr>
        <w:t xml:space="preserve">Pulse generator and safety direction </w:t>
      </w:r>
      <w:r>
        <w:rPr>
          <w:rFonts w:ascii="Arial" w:hAnsi="Arial" w:cs="Arial"/>
          <w:b/>
          <w:bCs/>
          <w:sz w:val="28"/>
          <w:szCs w:val="28"/>
          <w:lang w:val="en-GB"/>
        </w:rPr>
        <w:t>"</w:t>
      </w:r>
      <w:r w:rsidRPr="00DE7D83">
        <w:rPr>
          <w:rFonts w:ascii="Arial" w:hAnsi="Arial" w:cs="Arial"/>
          <w:b/>
          <w:bCs/>
          <w:sz w:val="28"/>
          <w:szCs w:val="28"/>
          <w:lang w:val="en-GB"/>
        </w:rPr>
        <w:t>EFA-SCAN</w:t>
      </w:r>
      <w:r>
        <w:rPr>
          <w:rFonts w:ascii="Arial" w:hAnsi="Arial" w:cs="Arial"/>
          <w:b/>
          <w:bCs/>
          <w:sz w:val="28"/>
          <w:szCs w:val="28"/>
          <w:lang w:val="en-GB"/>
        </w:rPr>
        <w:t>”</w:t>
      </w:r>
    </w:p>
    <w:p w14:paraId="4A11D8BD" w14:textId="77777777" w:rsidR="00DE7D83" w:rsidRDefault="00DE7D83" w:rsidP="00DE7D8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  <w:lang w:val="en-GB"/>
        </w:rPr>
      </w:pPr>
    </w:p>
    <w:p w14:paraId="7FDB918E" w14:textId="533FF9D9" w:rsidR="00615699" w:rsidRDefault="00EC66AA" w:rsidP="006156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EC66AA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EC66AA">
        <w:rPr>
          <w:rFonts w:ascii="Arial" w:hAnsi="Arial" w:cs="Arial"/>
          <w:sz w:val="20"/>
          <w:szCs w:val="20"/>
          <w:lang w:val="en-GB"/>
        </w:rPr>
        <w:t xml:space="preserve"> door systems can be equipped with a completely new, patented laser scanner, </w:t>
      </w:r>
      <w:r>
        <w:rPr>
          <w:rFonts w:ascii="Arial" w:hAnsi="Arial" w:cs="Arial"/>
          <w:sz w:val="20"/>
          <w:szCs w:val="20"/>
          <w:lang w:val="en-GB"/>
        </w:rPr>
        <w:t>“</w:t>
      </w:r>
      <w:r w:rsidRPr="00EC66AA">
        <w:rPr>
          <w:rFonts w:ascii="Arial" w:hAnsi="Arial" w:cs="Arial"/>
          <w:b/>
          <w:bCs/>
          <w:sz w:val="20"/>
          <w:szCs w:val="20"/>
          <w:lang w:val="en-GB"/>
        </w:rPr>
        <w:t>EFA-SCAN</w:t>
      </w:r>
      <w:r>
        <w:rPr>
          <w:rFonts w:ascii="Arial" w:hAnsi="Arial" w:cs="Arial"/>
          <w:b/>
          <w:bCs/>
          <w:sz w:val="20"/>
          <w:szCs w:val="20"/>
          <w:lang w:val="en-GB"/>
        </w:rPr>
        <w:t>”</w:t>
      </w:r>
      <w:r w:rsidRPr="00EC66AA">
        <w:rPr>
          <w:rFonts w:ascii="Arial" w:hAnsi="Arial" w:cs="Arial"/>
          <w:sz w:val="20"/>
          <w:szCs w:val="20"/>
          <w:lang w:val="en-GB"/>
        </w:rPr>
        <w:t>, on request.</w:t>
      </w:r>
    </w:p>
    <w:p w14:paraId="0743EDF7" w14:textId="77777777" w:rsidR="00EC66AA" w:rsidRPr="00EC66AA" w:rsidRDefault="00EC66AA" w:rsidP="00615699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  <w:lang w:val="en-GB"/>
        </w:rPr>
      </w:pPr>
    </w:p>
    <w:p w14:paraId="3C9B70CD" w14:textId="2690A2CB" w:rsidR="00E07C95" w:rsidRPr="001D2B6F" w:rsidRDefault="00E07C95" w:rsidP="00615699">
      <w:pPr>
        <w:rPr>
          <w:rFonts w:ascii="Arial" w:hAnsi="Arial" w:cs="Arial"/>
          <w:b/>
          <w:caps/>
          <w:szCs w:val="20"/>
          <w:lang w:val="en-GB"/>
        </w:rPr>
      </w:pPr>
      <w:r w:rsidRPr="001D2B6F">
        <w:rPr>
          <w:rFonts w:ascii="Arial" w:hAnsi="Arial" w:cs="Arial"/>
          <w:b/>
          <w:caps/>
          <w:szCs w:val="20"/>
          <w:lang w:val="en-GB"/>
        </w:rPr>
        <w:t>Techni</w:t>
      </w:r>
      <w:r w:rsidR="00EC66AA" w:rsidRPr="001D2B6F">
        <w:rPr>
          <w:rFonts w:ascii="Arial" w:hAnsi="Arial" w:cs="Arial"/>
          <w:b/>
          <w:caps/>
          <w:szCs w:val="20"/>
          <w:lang w:val="en-GB"/>
        </w:rPr>
        <w:t>cal features</w:t>
      </w:r>
    </w:p>
    <w:p w14:paraId="055791F6" w14:textId="4A3D892F" w:rsidR="00BF6BFB" w:rsidRPr="001D2B6F" w:rsidRDefault="001D2B6F" w:rsidP="001D2B6F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1D2B6F">
        <w:rPr>
          <w:rFonts w:ascii="Arial" w:hAnsi="Arial" w:cs="Arial"/>
          <w:b/>
          <w:bCs/>
          <w:sz w:val="20"/>
          <w:szCs w:val="20"/>
          <w:lang w:val="en-GB"/>
        </w:rPr>
        <w:t xml:space="preserve">EFAFLEX LASER SCANNER EFA-SCAN, </w:t>
      </w:r>
      <w:r w:rsidRPr="001D2B6F">
        <w:rPr>
          <w:rFonts w:ascii="Arial" w:hAnsi="Arial" w:cs="Arial"/>
          <w:sz w:val="20"/>
          <w:szCs w:val="20"/>
          <w:lang w:val="en-GB"/>
        </w:rPr>
        <w:t>with direction-detecting detection zone and static safety zone,</w:t>
      </w:r>
      <w:r w:rsidRPr="001D2B6F">
        <w:rPr>
          <w:rFonts w:ascii="Arial" w:hAnsi="Arial" w:cs="Arial"/>
          <w:b/>
          <w:bCs/>
          <w:sz w:val="20"/>
          <w:szCs w:val="20"/>
          <w:lang w:val="en-GB"/>
        </w:rPr>
        <w:t xml:space="preserve"> integrated into the door frame. </w:t>
      </w:r>
      <w:r w:rsidRPr="001D2B6F">
        <w:rPr>
          <w:rFonts w:ascii="Arial" w:hAnsi="Arial" w:cs="Arial"/>
          <w:sz w:val="20"/>
          <w:szCs w:val="20"/>
          <w:lang w:val="en-GB"/>
        </w:rPr>
        <w:t>Available for the following door types: high-speed spiral door, high-speed turbo door and high-speed turbo roll-up door.</w:t>
      </w:r>
    </w:p>
    <w:p w14:paraId="3212252F" w14:textId="77777777" w:rsidR="001D2B6F" w:rsidRPr="001D2B6F" w:rsidRDefault="001D2B6F" w:rsidP="00E311DA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en-GB"/>
        </w:rPr>
      </w:pPr>
    </w:p>
    <w:p w14:paraId="0FEAB54E" w14:textId="020F5074" w:rsidR="008D553D" w:rsidRPr="004C2309" w:rsidRDefault="004C2309" w:rsidP="004C2309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4C2309">
        <w:rPr>
          <w:rFonts w:ascii="Arial" w:hAnsi="Arial" w:cs="Arial"/>
          <w:sz w:val="20"/>
          <w:szCs w:val="20"/>
          <w:lang w:val="en-GB"/>
        </w:rPr>
        <w:t xml:space="preserve">The sensor generates </w:t>
      </w:r>
      <w:r w:rsidRPr="004C2309">
        <w:rPr>
          <w:rFonts w:ascii="Arial" w:hAnsi="Arial" w:cs="Arial"/>
          <w:b/>
          <w:bCs/>
          <w:sz w:val="20"/>
          <w:szCs w:val="20"/>
          <w:lang w:val="en-GB"/>
        </w:rPr>
        <w:t>a three-dimensional monitored area with individually</w:t>
      </w:r>
      <w:r w:rsidRPr="004C2309">
        <w:rPr>
          <w:rFonts w:ascii="Arial" w:hAnsi="Arial" w:cs="Arial"/>
          <w:sz w:val="20"/>
          <w:szCs w:val="20"/>
          <w:lang w:val="en-GB"/>
        </w:rPr>
        <w:t xml:space="preserve"> adjustable </w:t>
      </w:r>
      <w:r w:rsidRPr="004C2309">
        <w:rPr>
          <w:rFonts w:ascii="Arial" w:hAnsi="Arial" w:cs="Arial"/>
          <w:b/>
          <w:bCs/>
          <w:sz w:val="20"/>
          <w:szCs w:val="20"/>
          <w:lang w:val="en-GB"/>
        </w:rPr>
        <w:t>geometric and dynamic detection zones.</w:t>
      </w:r>
    </w:p>
    <w:p w14:paraId="099EE08F" w14:textId="77777777" w:rsidR="004C2309" w:rsidRPr="004C2309" w:rsidRDefault="004C2309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6B7A2294" w14:textId="762A96F1" w:rsidR="00F11892" w:rsidRDefault="00427CC2" w:rsidP="00427CC2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427CC2">
        <w:rPr>
          <w:rFonts w:ascii="Arial" w:hAnsi="Arial" w:cs="Arial"/>
          <w:sz w:val="20"/>
          <w:szCs w:val="20"/>
          <w:lang w:val="en-GB"/>
        </w:rPr>
        <w:t xml:space="preserve">It offers </w:t>
      </w:r>
      <w:r w:rsidRPr="00427CC2">
        <w:rPr>
          <w:rFonts w:ascii="Arial" w:hAnsi="Arial" w:cs="Arial"/>
          <w:b/>
          <w:bCs/>
          <w:sz w:val="20"/>
          <w:szCs w:val="20"/>
          <w:lang w:val="en-GB"/>
        </w:rPr>
        <w:t>maximum safety</w:t>
      </w:r>
      <w:r w:rsidRPr="00427CC2">
        <w:rPr>
          <w:rFonts w:ascii="Arial" w:hAnsi="Arial" w:cs="Arial"/>
          <w:sz w:val="20"/>
          <w:szCs w:val="20"/>
          <w:lang w:val="en-GB"/>
        </w:rPr>
        <w:t xml:space="preserve"> for people, transported goods and the door itself against accidents and damage.</w:t>
      </w:r>
    </w:p>
    <w:p w14:paraId="5C4D4CF8" w14:textId="77777777" w:rsidR="00427CC2" w:rsidRPr="00427CC2" w:rsidRDefault="00427CC2" w:rsidP="00427CC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1A5C515D" w14:textId="0B3AB117" w:rsidR="008D2F3F" w:rsidRPr="00D53B19" w:rsidRDefault="00D53B19" w:rsidP="00D53B19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D53B19">
        <w:rPr>
          <w:rFonts w:ascii="Arial" w:hAnsi="Arial" w:cs="Arial"/>
          <w:sz w:val="20"/>
          <w:szCs w:val="20"/>
          <w:lang w:val="en-GB"/>
        </w:rPr>
        <w:t xml:space="preserve">Basically, two </w:t>
      </w:r>
      <w:r w:rsidRPr="00D53B19">
        <w:rPr>
          <w:rFonts w:ascii="Arial" w:hAnsi="Arial" w:cs="Arial"/>
          <w:b/>
          <w:bCs/>
          <w:sz w:val="20"/>
          <w:szCs w:val="20"/>
          <w:lang w:val="en-GB"/>
        </w:rPr>
        <w:t>EFA-SCANs</w:t>
      </w:r>
      <w:r w:rsidRPr="00D53B19">
        <w:rPr>
          <w:rFonts w:ascii="Arial" w:hAnsi="Arial" w:cs="Arial"/>
          <w:sz w:val="20"/>
          <w:szCs w:val="20"/>
          <w:lang w:val="en-GB"/>
        </w:rPr>
        <w:t xml:space="preserve"> are required for the areas ‘in front of’ and ‘behind’ the door </w:t>
      </w:r>
      <w:proofErr w:type="gramStart"/>
      <w:r w:rsidRPr="00D53B19">
        <w:rPr>
          <w:rFonts w:ascii="Arial" w:hAnsi="Arial" w:cs="Arial"/>
          <w:sz w:val="20"/>
          <w:szCs w:val="20"/>
          <w:lang w:val="en-GB"/>
        </w:rPr>
        <w:t>in order to</w:t>
      </w:r>
      <w:proofErr w:type="gramEnd"/>
      <w:r w:rsidRPr="00D53B19">
        <w:rPr>
          <w:rFonts w:ascii="Arial" w:hAnsi="Arial" w:cs="Arial"/>
          <w:sz w:val="20"/>
          <w:szCs w:val="20"/>
          <w:lang w:val="en-GB"/>
        </w:rPr>
        <w:t xml:space="preserve"> completely replace all previously used combinations of conventional pulse generators and spatial safety devices or to significantly exceed their effectiveness.</w:t>
      </w:r>
    </w:p>
    <w:p w14:paraId="0C2ADFC0" w14:textId="77777777" w:rsidR="00D53B19" w:rsidRPr="00D53B19" w:rsidRDefault="00D53B19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03AF2D42" w14:textId="1C655C20" w:rsidR="00535CDD" w:rsidRPr="004C5563" w:rsidRDefault="004C5563" w:rsidP="004C5563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4C5563">
        <w:rPr>
          <w:rFonts w:ascii="Arial" w:hAnsi="Arial" w:cs="Arial"/>
          <w:sz w:val="20"/>
          <w:szCs w:val="20"/>
          <w:lang w:val="en-GB"/>
        </w:rPr>
        <w:t xml:space="preserve">The EFA-SCAN generates </w:t>
      </w:r>
      <w:r w:rsidRPr="004C5563">
        <w:rPr>
          <w:rFonts w:ascii="Arial" w:hAnsi="Arial" w:cs="Arial"/>
          <w:b/>
          <w:bCs/>
          <w:sz w:val="20"/>
          <w:szCs w:val="20"/>
          <w:lang w:val="en-GB"/>
        </w:rPr>
        <w:t>two continuous zones</w:t>
      </w:r>
      <w:r w:rsidRPr="004C5563">
        <w:rPr>
          <w:rFonts w:ascii="Arial" w:hAnsi="Arial" w:cs="Arial"/>
          <w:sz w:val="20"/>
          <w:szCs w:val="20"/>
          <w:lang w:val="en-GB"/>
        </w:rPr>
        <w:t xml:space="preserve">: </w:t>
      </w:r>
      <w:r w:rsidRPr="00494073">
        <w:rPr>
          <w:rFonts w:ascii="Arial" w:hAnsi="Arial" w:cs="Arial"/>
          <w:b/>
          <w:bCs/>
          <w:sz w:val="20"/>
          <w:szCs w:val="20"/>
          <w:lang w:val="en-GB"/>
        </w:rPr>
        <w:t>a safety zone</w:t>
      </w:r>
      <w:r w:rsidRPr="004C5563">
        <w:rPr>
          <w:rFonts w:ascii="Arial" w:hAnsi="Arial" w:cs="Arial"/>
          <w:sz w:val="20"/>
          <w:szCs w:val="20"/>
          <w:lang w:val="en-GB"/>
        </w:rPr>
        <w:t xml:space="preserve"> in the immediate vicinity of the door and a </w:t>
      </w:r>
      <w:r w:rsidRPr="00494073">
        <w:rPr>
          <w:rFonts w:ascii="Arial" w:hAnsi="Arial" w:cs="Arial"/>
          <w:b/>
          <w:bCs/>
          <w:sz w:val="20"/>
          <w:szCs w:val="20"/>
          <w:lang w:val="en-GB"/>
        </w:rPr>
        <w:t>detection zone</w:t>
      </w:r>
      <w:r w:rsidRPr="004C5563">
        <w:rPr>
          <w:rFonts w:ascii="Arial" w:hAnsi="Arial" w:cs="Arial"/>
          <w:sz w:val="20"/>
          <w:szCs w:val="20"/>
          <w:lang w:val="en-GB"/>
        </w:rPr>
        <w:t xml:space="preserve"> further away. In this zone, the </w:t>
      </w:r>
      <w:r w:rsidRPr="00494073">
        <w:rPr>
          <w:rFonts w:ascii="Arial" w:hAnsi="Arial" w:cs="Arial"/>
          <w:b/>
          <w:bCs/>
          <w:sz w:val="20"/>
          <w:szCs w:val="20"/>
          <w:lang w:val="en-GB"/>
        </w:rPr>
        <w:t>EFA-SCAN</w:t>
      </w:r>
      <w:r w:rsidRPr="004C5563">
        <w:rPr>
          <w:rFonts w:ascii="Arial" w:hAnsi="Arial" w:cs="Arial"/>
          <w:sz w:val="20"/>
          <w:szCs w:val="20"/>
          <w:lang w:val="en-GB"/>
        </w:rPr>
        <w:t xml:space="preserve"> sensor functions as </w:t>
      </w:r>
      <w:r w:rsidRPr="001518CD">
        <w:rPr>
          <w:rFonts w:ascii="Arial" w:hAnsi="Arial" w:cs="Arial"/>
          <w:b/>
          <w:bCs/>
          <w:sz w:val="20"/>
          <w:szCs w:val="20"/>
          <w:lang w:val="en-GB"/>
        </w:rPr>
        <w:t>a state-of-the-art command device</w:t>
      </w:r>
      <w:r w:rsidRPr="004C5563">
        <w:rPr>
          <w:rFonts w:ascii="Arial" w:hAnsi="Arial" w:cs="Arial"/>
          <w:sz w:val="20"/>
          <w:szCs w:val="20"/>
          <w:lang w:val="en-GB"/>
        </w:rPr>
        <w:t xml:space="preserve"> for opening the door. The speed and direction of the detected objects are calculated.</w:t>
      </w:r>
    </w:p>
    <w:p w14:paraId="521AF6E1" w14:textId="77777777" w:rsidR="004C5563" w:rsidRPr="004C5563" w:rsidRDefault="004C5563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09D4CBAF" w14:textId="5908EBB9" w:rsidR="00A00683" w:rsidRPr="00BA64E3" w:rsidRDefault="00BA64E3" w:rsidP="00BA64E3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4F32A9">
        <w:rPr>
          <w:rFonts w:ascii="Arial" w:hAnsi="Arial" w:cs="Arial"/>
          <w:b/>
          <w:bCs/>
          <w:sz w:val="20"/>
          <w:szCs w:val="20"/>
          <w:lang w:val="en-GB"/>
        </w:rPr>
        <w:t>Reliable direction detection</w:t>
      </w:r>
      <w:r w:rsidRPr="00BA64E3">
        <w:rPr>
          <w:rFonts w:ascii="Arial" w:hAnsi="Arial" w:cs="Arial"/>
          <w:sz w:val="20"/>
          <w:szCs w:val="20"/>
          <w:lang w:val="en-GB"/>
        </w:rPr>
        <w:t xml:space="preserve"> ensures that only objects moving directly towards the gate can trigger an opening impulse.</w:t>
      </w:r>
    </w:p>
    <w:p w14:paraId="13FA3975" w14:textId="77777777" w:rsidR="00BA64E3" w:rsidRPr="00BA64E3" w:rsidRDefault="00BA64E3" w:rsidP="002E085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6ED46D57" w14:textId="2A5E0F5F" w:rsidR="00726201" w:rsidRPr="006D3BF4" w:rsidRDefault="006D3BF4" w:rsidP="006D3BF4">
      <w:pPr>
        <w:pStyle w:val="Listenabsatz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Helvetica" w:hAnsi="Helvetica" w:cs="Helvetica"/>
          <w:sz w:val="20"/>
          <w:szCs w:val="20"/>
          <w:lang w:val="en-GB"/>
        </w:rPr>
      </w:pPr>
      <w:r w:rsidRPr="006D3BF4">
        <w:rPr>
          <w:rFonts w:ascii="Arial" w:hAnsi="Arial" w:cs="Arial"/>
          <w:sz w:val="20"/>
          <w:szCs w:val="20"/>
          <w:lang w:val="en-GB"/>
        </w:rPr>
        <w:t>Objects moving parallel to or away from the gate are hidden, effectively preventing ‘accidental’ opening.</w:t>
      </w:r>
    </w:p>
    <w:p w14:paraId="03D93528" w14:textId="77777777" w:rsidR="006D3BF4" w:rsidRPr="00BE3757" w:rsidRDefault="006D3BF4" w:rsidP="00BE37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en-GB"/>
        </w:rPr>
      </w:pPr>
    </w:p>
    <w:p w14:paraId="2BC6DC20" w14:textId="3F7B43D5" w:rsidR="00E07C95" w:rsidRPr="00AF108C" w:rsidRDefault="00EC66AA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AF108C">
        <w:rPr>
          <w:rFonts w:ascii="Arial" w:hAnsi="Arial" w:cs="Arial"/>
          <w:b/>
          <w:caps/>
          <w:szCs w:val="20"/>
          <w:lang w:val="en-GB"/>
        </w:rPr>
        <w:t>pERFORMANCE vALUES (</w:t>
      </w:r>
      <w:r w:rsidR="00AF108C" w:rsidRPr="00AF108C">
        <w:rPr>
          <w:rFonts w:ascii="Arial" w:hAnsi="Arial" w:cs="Arial"/>
          <w:b/>
          <w:caps/>
          <w:szCs w:val="20"/>
          <w:lang w:val="en-GB"/>
        </w:rPr>
        <w:t>Depending on e</w:t>
      </w:r>
      <w:r w:rsidR="00AF108C">
        <w:rPr>
          <w:rFonts w:ascii="Arial" w:hAnsi="Arial" w:cs="Arial"/>
          <w:b/>
          <w:caps/>
          <w:szCs w:val="20"/>
          <w:lang w:val="en-GB"/>
        </w:rPr>
        <w:t>quipment)</w:t>
      </w:r>
    </w:p>
    <w:p w14:paraId="45930716" w14:textId="5AE13420" w:rsidR="005F3421" w:rsidRPr="00CE4470" w:rsidRDefault="00391ED1" w:rsidP="00391ED1">
      <w:pPr>
        <w:pStyle w:val="Listenabsatz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391ED1">
        <w:rPr>
          <w:rFonts w:ascii="Arial" w:hAnsi="Arial" w:cs="Arial"/>
          <w:b/>
          <w:bCs/>
          <w:sz w:val="20"/>
          <w:szCs w:val="20"/>
          <w:lang w:val="en-GB"/>
        </w:rPr>
        <w:t xml:space="preserve">EFAFLEX laser scanner EFA-SCAN, </w:t>
      </w:r>
      <w:r w:rsidRPr="00CE4470">
        <w:rPr>
          <w:rFonts w:ascii="Arial" w:hAnsi="Arial" w:cs="Arial"/>
          <w:sz w:val="20"/>
          <w:szCs w:val="20"/>
          <w:lang w:val="en-GB"/>
        </w:rPr>
        <w:t xml:space="preserve">with direction-detecting detection zone and static safety zone, </w:t>
      </w:r>
      <w:r w:rsidRPr="00CE4470">
        <w:rPr>
          <w:rFonts w:ascii="Arial" w:hAnsi="Arial" w:cs="Arial"/>
          <w:b/>
          <w:bCs/>
          <w:sz w:val="20"/>
          <w:szCs w:val="20"/>
          <w:lang w:val="en-GB"/>
        </w:rPr>
        <w:t>pre-installed in a separate bollard at the factory</w:t>
      </w:r>
      <w:r w:rsidRPr="00CE4470">
        <w:rPr>
          <w:rFonts w:ascii="Arial" w:hAnsi="Arial" w:cs="Arial"/>
          <w:sz w:val="20"/>
          <w:szCs w:val="20"/>
          <w:lang w:val="en-GB"/>
        </w:rPr>
        <w:t>, standard bollard height: H = 400 mm, steel parts powder-coated in RAL 1003, ‘signal yellow’.</w:t>
      </w:r>
    </w:p>
    <w:p w14:paraId="79DC64A8" w14:textId="77777777" w:rsidR="00391ED1" w:rsidRPr="00391ED1" w:rsidRDefault="00391ED1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0A1C2307" w14:textId="497D2337" w:rsidR="005F3421" w:rsidRPr="00A85C7F" w:rsidRDefault="00A85C7F" w:rsidP="00A85C7F">
      <w:pPr>
        <w:pStyle w:val="Listenabsatz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A85C7F">
        <w:rPr>
          <w:rFonts w:ascii="Arial" w:hAnsi="Arial" w:cs="Arial"/>
          <w:b/>
          <w:bCs/>
          <w:sz w:val="20"/>
          <w:szCs w:val="20"/>
          <w:lang w:val="en-GB"/>
        </w:rPr>
        <w:t xml:space="preserve">EFAFLEX laser scanner EFA-SCAN, with </w:t>
      </w:r>
      <w:r w:rsidRPr="00A85C7F">
        <w:rPr>
          <w:rFonts w:ascii="Arial" w:hAnsi="Arial" w:cs="Arial"/>
          <w:sz w:val="20"/>
          <w:szCs w:val="20"/>
          <w:lang w:val="en-GB"/>
        </w:rPr>
        <w:t>direction-detecting detection zone and static safety zone,</w:t>
      </w:r>
      <w:r w:rsidRPr="00A85C7F">
        <w:rPr>
          <w:rFonts w:ascii="Arial" w:hAnsi="Arial" w:cs="Arial"/>
          <w:b/>
          <w:bCs/>
          <w:sz w:val="20"/>
          <w:szCs w:val="20"/>
          <w:lang w:val="en-GB"/>
        </w:rPr>
        <w:t xml:space="preserve"> for on-site mounting </w:t>
      </w:r>
      <w:r w:rsidRPr="00A85C7F">
        <w:rPr>
          <w:rFonts w:ascii="Arial" w:hAnsi="Arial" w:cs="Arial"/>
          <w:sz w:val="20"/>
          <w:szCs w:val="20"/>
          <w:lang w:val="en-GB"/>
        </w:rPr>
        <w:t>(according to EFAFLEX specifications).</w:t>
      </w:r>
    </w:p>
    <w:p w14:paraId="79D501AC" w14:textId="77777777" w:rsidR="00A85C7F" w:rsidRPr="00A85C7F" w:rsidRDefault="00A85C7F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5ADAB2D1" w14:textId="7CAA0FB3" w:rsidR="005F3421" w:rsidRDefault="000E063C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  <w:r w:rsidRPr="000E063C">
        <w:rPr>
          <w:rFonts w:ascii="Arial" w:hAnsi="Arial" w:cs="Arial"/>
          <w:sz w:val="20"/>
          <w:szCs w:val="20"/>
          <w:lang w:val="en-GB"/>
        </w:rPr>
        <w:t>Additional options available on request:</w:t>
      </w:r>
    </w:p>
    <w:p w14:paraId="7DFFDF37" w14:textId="77777777" w:rsidR="000E063C" w:rsidRPr="000E063C" w:rsidRDefault="000E063C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GB"/>
        </w:rPr>
      </w:pPr>
    </w:p>
    <w:p w14:paraId="56842866" w14:textId="2CB9B98D" w:rsidR="008529A7" w:rsidRPr="0066281A" w:rsidRDefault="0066281A" w:rsidP="0066281A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en-GB"/>
        </w:rPr>
      </w:pPr>
      <w:r w:rsidRPr="0066281A">
        <w:rPr>
          <w:rFonts w:ascii="Arial" w:hAnsi="Arial" w:cs="Arial"/>
          <w:b/>
          <w:bCs/>
          <w:sz w:val="20"/>
          <w:szCs w:val="20"/>
          <w:lang w:val="en-GB"/>
        </w:rPr>
        <w:t xml:space="preserve">Additional bollard, </w:t>
      </w:r>
      <w:r w:rsidRPr="0066281A">
        <w:rPr>
          <w:rFonts w:ascii="Arial" w:hAnsi="Arial" w:cs="Arial"/>
          <w:sz w:val="20"/>
          <w:szCs w:val="20"/>
          <w:lang w:val="en-GB"/>
        </w:rPr>
        <w:t>e.g. purely for collision protection, powder-coated in RAL 1003 ‘signal yellow’, standard bollard height H = 400 mm.</w:t>
      </w:r>
    </w:p>
    <w:sectPr w:rsidR="008529A7" w:rsidRPr="0066281A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227CC" w14:textId="77777777" w:rsidR="003758F0" w:rsidRDefault="003758F0" w:rsidP="00E07C95">
      <w:pPr>
        <w:spacing w:after="0" w:line="240" w:lineRule="auto"/>
      </w:pPr>
      <w:r>
        <w:separator/>
      </w:r>
    </w:p>
  </w:endnote>
  <w:endnote w:type="continuationSeparator" w:id="0">
    <w:p w14:paraId="41173866" w14:textId="77777777" w:rsidR="003758F0" w:rsidRDefault="003758F0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1EE59031" w:rsidR="00283AE2" w:rsidRDefault="00BA2101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2BE7866B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BB7369">
      <w:rPr>
        <w:rFonts w:ascii="Arial" w:hAnsi="Arial" w:cs="Arial"/>
        <w:sz w:val="20"/>
        <w:szCs w:val="20"/>
        <w:lang w:val="de-DE"/>
      </w:rPr>
      <w:t>Subject</w:t>
    </w:r>
    <w:proofErr w:type="spellEnd"/>
    <w:r w:rsidR="00BB7369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BB7369">
      <w:rPr>
        <w:rFonts w:ascii="Arial" w:hAnsi="Arial" w:cs="Arial"/>
        <w:sz w:val="20"/>
        <w:szCs w:val="20"/>
        <w:lang w:val="de-DE"/>
      </w:rPr>
      <w:t>technical</w:t>
    </w:r>
    <w:proofErr w:type="spellEnd"/>
    <w:r w:rsidR="00BB7369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BB7369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3D87" w14:textId="77777777" w:rsidR="003758F0" w:rsidRDefault="003758F0" w:rsidP="00E07C95">
      <w:pPr>
        <w:spacing w:after="0" w:line="240" w:lineRule="auto"/>
      </w:pPr>
      <w:r>
        <w:separator/>
      </w:r>
    </w:p>
  </w:footnote>
  <w:footnote w:type="continuationSeparator" w:id="0">
    <w:p w14:paraId="04E911AE" w14:textId="77777777" w:rsidR="003758F0" w:rsidRDefault="003758F0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E530F0"/>
    <w:multiLevelType w:val="hybridMultilevel"/>
    <w:tmpl w:val="75C6C63A"/>
    <w:lvl w:ilvl="0" w:tplc="0407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D71884"/>
    <w:multiLevelType w:val="hybridMultilevel"/>
    <w:tmpl w:val="32544F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417CA"/>
    <w:multiLevelType w:val="hybridMultilevel"/>
    <w:tmpl w:val="C3F645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A50C3"/>
    <w:multiLevelType w:val="hybridMultilevel"/>
    <w:tmpl w:val="CEC26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CC7983"/>
    <w:multiLevelType w:val="hybridMultilevel"/>
    <w:tmpl w:val="EC287A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52B19"/>
    <w:multiLevelType w:val="hybridMultilevel"/>
    <w:tmpl w:val="F70878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0C6DF9"/>
    <w:multiLevelType w:val="hybridMultilevel"/>
    <w:tmpl w:val="84B476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10"/>
  </w:num>
  <w:num w:numId="11" w16cid:durableId="1414938189">
    <w:abstractNumId w:val="14"/>
  </w:num>
  <w:num w:numId="12" w16cid:durableId="1671710301">
    <w:abstractNumId w:val="13"/>
  </w:num>
  <w:num w:numId="13" w16cid:durableId="114756276">
    <w:abstractNumId w:val="15"/>
  </w:num>
  <w:num w:numId="14" w16cid:durableId="1846633529">
    <w:abstractNumId w:val="12"/>
  </w:num>
  <w:num w:numId="15" w16cid:durableId="2044669898">
    <w:abstractNumId w:val="11"/>
  </w:num>
  <w:num w:numId="16" w16cid:durableId="793402020">
    <w:abstractNumId w:val="17"/>
  </w:num>
  <w:num w:numId="17" w16cid:durableId="176237300">
    <w:abstractNumId w:val="9"/>
  </w:num>
  <w:num w:numId="18" w16cid:durableId="8268200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B3D"/>
    <w:rsid w:val="00034616"/>
    <w:rsid w:val="0006063C"/>
    <w:rsid w:val="000E063C"/>
    <w:rsid w:val="0015074B"/>
    <w:rsid w:val="001518CD"/>
    <w:rsid w:val="001813DB"/>
    <w:rsid w:val="001D2B6F"/>
    <w:rsid w:val="002442ED"/>
    <w:rsid w:val="00283AE2"/>
    <w:rsid w:val="0029639D"/>
    <w:rsid w:val="002E085D"/>
    <w:rsid w:val="002E3178"/>
    <w:rsid w:val="003203D2"/>
    <w:rsid w:val="00326F90"/>
    <w:rsid w:val="003758F0"/>
    <w:rsid w:val="00391ED1"/>
    <w:rsid w:val="003D36AB"/>
    <w:rsid w:val="00427CC2"/>
    <w:rsid w:val="0046463D"/>
    <w:rsid w:val="00494073"/>
    <w:rsid w:val="004C2309"/>
    <w:rsid w:val="004C5563"/>
    <w:rsid w:val="004F32A9"/>
    <w:rsid w:val="00512667"/>
    <w:rsid w:val="00535CDD"/>
    <w:rsid w:val="00570ACE"/>
    <w:rsid w:val="005D612A"/>
    <w:rsid w:val="005F3421"/>
    <w:rsid w:val="006030DD"/>
    <w:rsid w:val="00615699"/>
    <w:rsid w:val="0066281A"/>
    <w:rsid w:val="006B33E9"/>
    <w:rsid w:val="006C3CDC"/>
    <w:rsid w:val="006D3BF4"/>
    <w:rsid w:val="00726201"/>
    <w:rsid w:val="007A0B54"/>
    <w:rsid w:val="008529A7"/>
    <w:rsid w:val="008D2F3F"/>
    <w:rsid w:val="008D553D"/>
    <w:rsid w:val="008D674E"/>
    <w:rsid w:val="00923628"/>
    <w:rsid w:val="00A00683"/>
    <w:rsid w:val="00A45004"/>
    <w:rsid w:val="00A85C7F"/>
    <w:rsid w:val="00AA1D8D"/>
    <w:rsid w:val="00AF108C"/>
    <w:rsid w:val="00B47730"/>
    <w:rsid w:val="00B85B9A"/>
    <w:rsid w:val="00BA2101"/>
    <w:rsid w:val="00BA64E3"/>
    <w:rsid w:val="00BB7369"/>
    <w:rsid w:val="00BE3757"/>
    <w:rsid w:val="00BF6BFB"/>
    <w:rsid w:val="00C00413"/>
    <w:rsid w:val="00CB0664"/>
    <w:rsid w:val="00CB15BC"/>
    <w:rsid w:val="00CE4470"/>
    <w:rsid w:val="00D0440E"/>
    <w:rsid w:val="00D53B19"/>
    <w:rsid w:val="00D76EBD"/>
    <w:rsid w:val="00DE7D83"/>
    <w:rsid w:val="00E07C95"/>
    <w:rsid w:val="00E311DA"/>
    <w:rsid w:val="00EC66AA"/>
    <w:rsid w:val="00F11892"/>
    <w:rsid w:val="00F17530"/>
    <w:rsid w:val="00F34795"/>
    <w:rsid w:val="00F50B3A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Zubehör Elektrik</TermName>
          <TermId xmlns="http://schemas.microsoft.com/office/infopath/2007/PartnerControls">7bc6a8f8-35af-48f8-90ea-b8d4d16cecde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FE39F-A2A2-49B2-A225-79D45A75DF92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1786</Characters>
  <Application>Microsoft Office Word</Application>
  <DocSecurity>0</DocSecurity>
  <Lines>14</Lines>
  <Paragraphs>4</Paragraphs>
  <ScaleCrop>false</ScaleCrop>
  <Manager/>
  <Company/>
  <LinksUpToDate>false</LinksUpToDate>
  <CharactersWithSpaces>2065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48</cp:revision>
  <dcterms:created xsi:type="dcterms:W3CDTF">2025-07-16T09:14:00Z</dcterms:created>
  <dcterms:modified xsi:type="dcterms:W3CDTF">2025-08-05T09:08:00Z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352;#Zubehör Elektrik|7bc6a8f8-35af-48f8-90ea-b8d4d16cecde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352;#Zubehör Elektrik|7bc6a8f8-35af-48f8-90ea-b8d4d16cecde</vt:lpwstr>
  </property>
</Properties>
</file>