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76D365AC" w:rsidR="00170E1E" w:rsidRPr="00496453" w:rsidRDefault="00170E1E" w:rsidP="00A93E15">
      <w:pPr>
        <w:pBdr>
          <w:top w:val="single" w:sz="4" w:space="1" w:color="auto"/>
          <w:bottom w:val="single" w:sz="4" w:space="1" w:color="auto"/>
        </w:pBdr>
        <w:spacing w:line="240" w:lineRule="auto"/>
        <w:ind w:firstLine="708"/>
        <w:rPr>
          <w:rFonts w:ascii="Arial" w:hAnsi="Arial" w:cs="Arial"/>
          <w:sz w:val="18"/>
          <w:szCs w:val="18"/>
          <w:lang w:val="fr-FR"/>
        </w:rPr>
      </w:pPr>
      <w:r w:rsidRPr="00496453">
        <w:rPr>
          <w:rFonts w:ascii="Arial" w:hAnsi="Arial" w:cs="Arial"/>
          <w:sz w:val="18"/>
          <w:szCs w:val="18"/>
          <w:lang w:val="fr-FR"/>
        </w:rPr>
        <w:t>Proje</w:t>
      </w:r>
      <w:r w:rsidR="00496453" w:rsidRPr="00496453">
        <w:rPr>
          <w:rFonts w:ascii="Arial" w:hAnsi="Arial" w:cs="Arial"/>
          <w:sz w:val="18"/>
          <w:szCs w:val="18"/>
          <w:lang w:val="fr-FR"/>
        </w:rPr>
        <w:t>c</w:t>
      </w:r>
      <w:r w:rsidRPr="00496453">
        <w:rPr>
          <w:rFonts w:ascii="Arial" w:hAnsi="Arial" w:cs="Arial"/>
          <w:sz w:val="18"/>
          <w:szCs w:val="18"/>
          <w:lang w:val="fr-FR"/>
        </w:rPr>
        <w:t>t</w:t>
      </w:r>
      <w:r w:rsidRPr="00496453">
        <w:rPr>
          <w:rFonts w:ascii="Arial" w:hAnsi="Arial" w:cs="Arial"/>
          <w:sz w:val="18"/>
          <w:szCs w:val="18"/>
          <w:lang w:val="fr-FR"/>
        </w:rPr>
        <w:tab/>
      </w:r>
      <w:r w:rsidRPr="00496453">
        <w:rPr>
          <w:rFonts w:ascii="Arial" w:hAnsi="Arial" w:cs="Arial"/>
          <w:sz w:val="18"/>
          <w:szCs w:val="18"/>
          <w:lang w:val="fr-FR"/>
        </w:rPr>
        <w:tab/>
        <w:t>xx</w:t>
      </w:r>
    </w:p>
    <w:p w14:paraId="4BEC77F9" w14:textId="0176F567" w:rsidR="00170E1E" w:rsidRPr="00496453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fr-FR"/>
        </w:rPr>
      </w:pPr>
      <w:r w:rsidRPr="00496453">
        <w:rPr>
          <w:rFonts w:ascii="Arial" w:hAnsi="Arial" w:cs="Arial"/>
          <w:b/>
          <w:lang w:val="fr-FR"/>
        </w:rPr>
        <w:br/>
      </w:r>
      <w:r w:rsidR="00496453">
        <w:rPr>
          <w:rFonts w:ascii="Arial" w:hAnsi="Arial" w:cs="Arial"/>
          <w:b/>
          <w:lang w:val="fr-FR"/>
        </w:rPr>
        <w:t>CHAIR DES CHARGES – ZONE FRIGORIFIQUE</w:t>
      </w:r>
      <w:r w:rsidRPr="00496453">
        <w:rPr>
          <w:rFonts w:ascii="Arial" w:hAnsi="Arial" w:cs="Arial"/>
          <w:b/>
          <w:lang w:val="fr-FR"/>
        </w:rPr>
        <w:br/>
      </w:r>
    </w:p>
    <w:p w14:paraId="49C361A0" w14:textId="62C8AD6B" w:rsidR="00170E1E" w:rsidRPr="00496453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16"/>
          <w:szCs w:val="16"/>
          <w:lang w:val="fr-FR"/>
        </w:rPr>
      </w:pPr>
      <w:r>
        <w:rPr>
          <w:rFonts w:ascii="Arial" w:hAnsi="Arial" w:cs="Arial"/>
          <w:sz w:val="16"/>
          <w:szCs w:val="16"/>
        </w:rPr>
        <w:t>POS.</w:t>
      </w:r>
      <w:r w:rsidRPr="00F0374D">
        <w:rPr>
          <w:rFonts w:ascii="Arial" w:hAnsi="Arial" w:cs="Arial"/>
          <w:sz w:val="16"/>
          <w:szCs w:val="16"/>
        </w:rPr>
        <w:tab/>
      </w:r>
      <w:r w:rsidRPr="00F0374D">
        <w:rPr>
          <w:rFonts w:ascii="Arial" w:hAnsi="Arial" w:cs="Arial"/>
          <w:sz w:val="16"/>
          <w:szCs w:val="16"/>
        </w:rPr>
        <w:tab/>
      </w:r>
      <w:r w:rsidR="00496453" w:rsidRPr="00496453">
        <w:rPr>
          <w:rFonts w:ascii="Arial" w:hAnsi="Arial" w:cs="Arial"/>
          <w:sz w:val="16"/>
          <w:szCs w:val="16"/>
          <w:lang w:val="fr-FR"/>
        </w:rPr>
        <w:t>DESCRIPTION</w:t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="00496453" w:rsidRPr="00496453">
        <w:rPr>
          <w:rFonts w:ascii="Arial" w:hAnsi="Arial" w:cs="Arial"/>
          <w:sz w:val="16"/>
          <w:szCs w:val="16"/>
          <w:lang w:val="fr-FR"/>
        </w:rPr>
        <w:t>QUANTITE</w:t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="00496453" w:rsidRPr="00496453">
        <w:rPr>
          <w:rFonts w:ascii="Arial" w:hAnsi="Arial" w:cs="Arial"/>
          <w:sz w:val="16"/>
          <w:szCs w:val="16"/>
          <w:lang w:val="fr-FR"/>
        </w:rPr>
        <w:t>UNITE</w:t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="00496453">
        <w:rPr>
          <w:rFonts w:ascii="Arial" w:hAnsi="Arial" w:cs="Arial"/>
          <w:sz w:val="16"/>
          <w:szCs w:val="16"/>
          <w:lang w:val="fr-FR"/>
        </w:rPr>
        <w:t>PRIX UNITEIRE</w:t>
      </w:r>
      <w:r w:rsidRPr="00496453">
        <w:rPr>
          <w:rFonts w:ascii="Arial" w:hAnsi="Arial" w:cs="Arial"/>
          <w:sz w:val="16"/>
          <w:szCs w:val="16"/>
          <w:lang w:val="fr-FR"/>
        </w:rPr>
        <w:tab/>
      </w:r>
      <w:r w:rsidR="00496453">
        <w:rPr>
          <w:rFonts w:ascii="Arial" w:hAnsi="Arial" w:cs="Arial"/>
          <w:sz w:val="16"/>
          <w:szCs w:val="16"/>
          <w:lang w:val="fr-FR"/>
        </w:rPr>
        <w:t>PRIX TOTAL</w:t>
      </w:r>
    </w:p>
    <w:p w14:paraId="67850C9E" w14:textId="77777777" w:rsidR="00170E1E" w:rsidRPr="00496453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7641ECE6" w14:textId="749525F0" w:rsidR="00170E1E" w:rsidRPr="007D0553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7D0553">
        <w:rPr>
          <w:rFonts w:ascii="Arial" w:hAnsi="Arial" w:cs="Arial"/>
          <w:b/>
          <w:sz w:val="18"/>
          <w:szCs w:val="18"/>
        </w:rPr>
        <w:t>01.</w:t>
      </w:r>
      <w:r>
        <w:rPr>
          <w:rFonts w:ascii="Arial" w:hAnsi="Arial" w:cs="Arial"/>
          <w:b/>
          <w:sz w:val="18"/>
          <w:szCs w:val="18"/>
        </w:rPr>
        <w:t>01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6453">
        <w:rPr>
          <w:rFonts w:ascii="Arial" w:hAnsi="Arial" w:cs="Arial"/>
          <w:b/>
          <w:sz w:val="18"/>
          <w:szCs w:val="18"/>
        </w:rPr>
        <w:t>PORTES DE CHAMBRE FROIDE</w:t>
      </w:r>
    </w:p>
    <w:p w14:paraId="5A2A3C26" w14:textId="77777777" w:rsidR="00170E1E" w:rsidRDefault="00170E1E" w:rsidP="00D33CB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756F0FBF" w14:textId="77777777" w:rsidR="00496453" w:rsidRPr="00496453" w:rsidRDefault="00170E1E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sz w:val="18"/>
          <w:szCs w:val="18"/>
          <w:lang w:val="fr-FR"/>
        </w:rPr>
        <w:t>01.01.0010</w:t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="00496453" w:rsidRPr="00496453">
        <w:rPr>
          <w:rFonts w:ascii="Arial" w:hAnsi="Arial" w:cs="Arial"/>
          <w:b/>
          <w:bCs/>
          <w:sz w:val="18"/>
          <w:szCs w:val="18"/>
          <w:lang w:val="fr-FR"/>
        </w:rPr>
        <w:t>PORTE À ENROULEMENT RAPIDE</w:t>
      </w:r>
    </w:p>
    <w:p w14:paraId="40BC17D6" w14:textId="7652758A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Produit de référence :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 xml:space="preserve">EFAFLEX type 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EFA-SRT®-L Premium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  <w:t>Fabrication :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0.000 × 0.000 mm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  <w:t>Fabrication, livraison et montage de :</w:t>
      </w:r>
    </w:p>
    <w:p w14:paraId="7C2574A5" w14:textId="18AB7373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Porte à enroulement rapide type EFA-SRT®-L Premium, version spéciale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pour une utilisation en zones de congélation, disponible en plusieurs variantes.</w:t>
      </w:r>
    </w:p>
    <w:p w14:paraId="43F8E8A2" w14:textId="0582C7DD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Variante 1 :</w:t>
      </w:r>
    </w:p>
    <w:p w14:paraId="3F017115" w14:textId="053A0A68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Utilisation comme sas d’accès à une zone de congélation (&lt; 0 °C).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Fonction : combinaison avec une porte coulissante frigorifique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(porte SRT installée uniquement du côté chaud &gt; 0 °C).</w:t>
      </w:r>
    </w:p>
    <w:p w14:paraId="355C117D" w14:textId="1EADF633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Variante 2 :</w:t>
      </w:r>
    </w:p>
    <w:p w14:paraId="2817C09A" w14:textId="12CAC1C5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Utilisation des deux côtés en zone de congélation.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Fonction : plages de température de −1 °C à −25 °C des deux côtés,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avec un différentiel de température allant jusqu’à 10 °C.</w:t>
      </w:r>
    </w:p>
    <w:p w14:paraId="3244A5C5" w14:textId="077861BC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Variante 3 :</w:t>
      </w:r>
    </w:p>
    <w:p w14:paraId="00972265" w14:textId="0478D162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Utilisation des deux côtés en zone de congélation.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Fonction : plages de température de −1 °C à −28 °C des deux côtés,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avec un différentiel de température allant jusqu’à 10 °C.</w:t>
      </w:r>
    </w:p>
    <w:p w14:paraId="410F22D5" w14:textId="70516172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L’installation comprend, en plus d’un variateur de fréquence standard et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d’une commande à microprocesseur, toutes les caractéristiques essentielles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d’une technologie de porte moderne, telles qu’une tension dynamique du tablier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et un mécanisme de compensation assisté par ressorts.</w:t>
      </w:r>
    </w:p>
    <w:p w14:paraId="7CB80A50" w14:textId="7D14383D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Toutes les parties visibles de la structure autoportante et entièrement fermée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sont réalisées en acier galvanisé.</w:t>
      </w:r>
    </w:p>
    <w:p w14:paraId="3B708890" w14:textId="0BBE76AC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L’installation est fournie avec un capot complet pour l’entraînement et l’axe.</w:t>
      </w:r>
    </w:p>
    <w:p w14:paraId="6733CC8F" w14:textId="24DB575D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L’armoire de commande est installée séparément.</w:t>
      </w:r>
    </w:p>
    <w:p w14:paraId="493B7865" w14:textId="0DB34B14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Le tablier est constitué d’un revêtement frigorifique non transparent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d’env. 1,5 mm d’épaisseur, en tissu PES renforcé contre le vent,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enroulé sur un axe horizontal (également en acier inoxydable).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Couleurs : bleu (≈ RAL 5002), orange (≈ RAL 2008), rouge (≈ RAL 3002),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ou jaune (≈ RAL 1021).</w:t>
      </w:r>
    </w:p>
    <w:p w14:paraId="09868A7E" w14:textId="7CD1065B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</w:p>
    <w:p w14:paraId="097BC869" w14:textId="3253EBE6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lastRenderedPageBreak/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Sécurité :</w:t>
      </w:r>
    </w:p>
    <w:p w14:paraId="6CC4264E" w14:textId="588DA1C8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Variante 1 :</w:t>
      </w:r>
    </w:p>
    <w:p w14:paraId="3BFE6716" w14:textId="4C845D95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Inclus une barrière immatérielle unidirectionnelle intégrée dans le bâti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ainsi qu’une barre palpeuse électrique auto-surveillée selon DIN EN 12453.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Le signal de la barre palpeuse est transmis via liaison radio sans fil.</w:t>
      </w:r>
    </w:p>
    <w:p w14:paraId="29C58E6F" w14:textId="0D06F480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Variantes 2 et 3 :</w:t>
      </w:r>
    </w:p>
    <w:p w14:paraId="1AF61131" w14:textId="5EDE7E08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Inclus un rideau lumineux de sécurité intégré dans le bâti.</w:t>
      </w:r>
    </w:p>
    <w:p w14:paraId="72347145" w14:textId="2A053E79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Une poignée manuelle placée sur le bâti permet le déverrouillage rapide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en cas d’urgence, par ex. en cas de coupure de courant.</w:t>
      </w:r>
    </w:p>
    <w:p w14:paraId="60EA53C8" w14:textId="49D377C1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VITESSE D’OUVERTURE :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sz w:val="18"/>
          <w:szCs w:val="18"/>
          <w:lang w:val="fr-FR"/>
        </w:rPr>
        <w:t>env. 2,0 m/s</w:t>
      </w:r>
    </w:p>
    <w:p w14:paraId="189D1945" w14:textId="50A5F3FD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VITESSE MAX. DU TABLIER :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sz w:val="18"/>
          <w:szCs w:val="18"/>
          <w:lang w:val="fr-FR"/>
        </w:rPr>
        <w:t>jusqu’à env. 2,5 m/s (selon dimensions)</w:t>
      </w:r>
    </w:p>
    <w:p w14:paraId="5DDF17F9" w14:textId="098E18B1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VITESSE DE FERMETURE :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sz w:val="18"/>
          <w:szCs w:val="18"/>
          <w:lang w:val="fr-FR"/>
        </w:rPr>
        <w:t>env. 0,75 m/s</w:t>
      </w:r>
    </w:p>
    <w:p w14:paraId="52A7963B" w14:textId="18B3AD4A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Raccordement à prévoir par le client : 230 V / 50–60 Hz, protection 16 A</w:t>
      </w:r>
    </w:p>
    <w:p w14:paraId="023B290F" w14:textId="400BB711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Comprenant contrôle fonctionnel et mise en service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 xml:space="preserve">pour une ouverture libre (max. </w:t>
      </w:r>
      <w:r w:rsidRPr="00496453">
        <w:rPr>
          <w:rFonts w:ascii="Arial" w:hAnsi="Arial" w:cs="Arial"/>
          <w:bCs/>
          <w:sz w:val="18"/>
          <w:szCs w:val="18"/>
        </w:rPr>
        <w:t>L × H = 4 000 × 4 000 mm)</w:t>
      </w:r>
    </w:p>
    <w:p w14:paraId="2A9903EA" w14:textId="263A5F55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496453">
        <w:rPr>
          <w:rFonts w:ascii="Arial" w:hAnsi="Arial" w:cs="Arial"/>
          <w:bCs/>
          <w:sz w:val="18"/>
          <w:szCs w:val="18"/>
        </w:rPr>
        <w:tab/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Largeur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= ………… mm</w:t>
      </w:r>
      <w:r w:rsidRPr="00496453">
        <w:rPr>
          <w:rFonts w:ascii="Arial" w:hAnsi="Arial" w:cs="Arial"/>
          <w:bCs/>
          <w:sz w:val="18"/>
          <w:szCs w:val="18"/>
        </w:rPr>
        <w:t> </w:t>
      </w:r>
      <w:r w:rsidRPr="00496453">
        <w:rPr>
          <w:rFonts w:ascii="Arial" w:hAnsi="Arial" w:cs="Arial"/>
          <w:bCs/>
          <w:sz w:val="18"/>
          <w:szCs w:val="18"/>
        </w:rPr>
        <w:t>×</w:t>
      </w:r>
      <w:r w:rsidRPr="00496453">
        <w:rPr>
          <w:rFonts w:ascii="Arial" w:hAnsi="Arial" w:cs="Arial"/>
          <w:bCs/>
          <w:sz w:val="18"/>
          <w:szCs w:val="18"/>
        </w:rPr>
        <w:t> 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Hauteur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= ………… mm</w:t>
      </w:r>
    </w:p>
    <w:p w14:paraId="4B37EE24" w14:textId="2E8D855B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496453">
        <w:rPr>
          <w:rFonts w:ascii="Arial" w:hAnsi="Arial" w:cs="Arial"/>
          <w:bCs/>
          <w:sz w:val="18"/>
          <w:szCs w:val="18"/>
        </w:rPr>
        <w:tab/>
      </w:r>
      <w:r w:rsidRPr="00496453">
        <w:rPr>
          <w:rFonts w:ascii="Arial" w:hAnsi="Arial" w:cs="Arial"/>
          <w:bCs/>
          <w:sz w:val="18"/>
          <w:szCs w:val="18"/>
        </w:rPr>
        <w:t xml:space="preserve">Attestation du 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fabricant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:</w:t>
      </w:r>
    </w:p>
    <w:p w14:paraId="3BB7B584" w14:textId="0641B1BA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</w:rPr>
        <w:tab/>
      </w:r>
      <w:r w:rsidRPr="00496453">
        <w:rPr>
          <w:rFonts w:ascii="Arial" w:hAnsi="Arial" w:cs="Arial"/>
          <w:bCs/>
          <w:sz w:val="18"/>
          <w:szCs w:val="18"/>
        </w:rPr>
        <w:t xml:space="preserve">EFAFLEX Tor- und Sicherheitssysteme GmbH &amp; Co. </w:t>
      </w:r>
      <w:r w:rsidRPr="00496453">
        <w:rPr>
          <w:rFonts w:ascii="Arial" w:hAnsi="Arial" w:cs="Arial"/>
          <w:bCs/>
          <w:sz w:val="18"/>
          <w:szCs w:val="18"/>
          <w:lang w:val="fr-FR"/>
        </w:rPr>
        <w:t>KG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www.efaflex.com</w:t>
      </w:r>
    </w:p>
    <w:p w14:paraId="11BB6C03" w14:textId="214BF2DB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  <w:lang w:val="fr-FR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Produit proposé :</w:t>
      </w:r>
    </w:p>
    <w:p w14:paraId="39689EBB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Cs/>
          <w:sz w:val="18"/>
          <w:szCs w:val="18"/>
        </w:rPr>
      </w:pPr>
      <w:r w:rsidRPr="00496453">
        <w:rPr>
          <w:rFonts w:ascii="Arial" w:hAnsi="Arial" w:cs="Arial"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EFAFLEX type EFA-SRT®-L Premium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(Indication de l’offrant)</w:t>
      </w:r>
      <w:r w:rsidRPr="00496453">
        <w:rPr>
          <w:rFonts w:ascii="Arial" w:hAnsi="Arial" w:cs="Arial"/>
          <w:bCs/>
          <w:sz w:val="18"/>
          <w:szCs w:val="18"/>
        </w:rPr>
        <w:t> </w:t>
      </w:r>
      <w:r w:rsidRPr="00496453">
        <w:rPr>
          <w:rFonts w:ascii="Arial" w:hAnsi="Arial" w:cs="Arial"/>
          <w:bCs/>
          <w:sz w:val="18"/>
          <w:szCs w:val="18"/>
        </w:rPr>
        <w:t> </w:t>
      </w:r>
      <w:r w:rsidRPr="00496453">
        <w:rPr>
          <w:rFonts w:ascii="Arial" w:hAnsi="Arial" w:cs="Arial"/>
          <w:bCs/>
          <w:sz w:val="18"/>
          <w:szCs w:val="18"/>
        </w:rPr>
        <w:t> </w:t>
      </w:r>
    </w:p>
    <w:p w14:paraId="5E2B6782" w14:textId="6A8A4336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422EDDD0" w14:textId="3C2D3049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1B004A82" w14:textId="2CA22B73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75371DD0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01.01.0020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Revêtement par poudre</w:t>
      </w:r>
    </w:p>
    <w:p w14:paraId="61D3F124" w14:textId="2867FC46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Revêtement par poudre de toutes les parties visibles en acier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(selon nuancier RAL, hors teintes perlées ou fluorescentes)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1AD6E279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01.01.0030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Version inox</w:t>
      </w:r>
    </w:p>
    <w:p w14:paraId="6126A879" w14:textId="3845CC57" w:rsid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Toutes les tôleries visibles en acier inoxydable (V2A),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y compris les roulements des galets de renvoi et de guidage en V2A.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</w:r>
      <w:r w:rsidRPr="00496453">
        <w:rPr>
          <w:rFonts w:ascii="Arial" w:hAnsi="Arial" w:cs="Arial"/>
          <w:bCs/>
          <w:sz w:val="18"/>
          <w:szCs w:val="18"/>
        </w:rPr>
        <w:t xml:space="preserve">(Sauf 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petites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pièces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situées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dans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 xml:space="preserve"> le </w:t>
      </w:r>
      <w:proofErr w:type="spellStart"/>
      <w:r w:rsidRPr="00496453">
        <w:rPr>
          <w:rFonts w:ascii="Arial" w:hAnsi="Arial" w:cs="Arial"/>
          <w:bCs/>
          <w:sz w:val="18"/>
          <w:szCs w:val="18"/>
        </w:rPr>
        <w:t>bâti</w:t>
      </w:r>
      <w:proofErr w:type="spellEnd"/>
      <w:r w:rsidRPr="00496453">
        <w:rPr>
          <w:rFonts w:ascii="Arial" w:hAnsi="Arial" w:cs="Arial"/>
          <w:bCs/>
          <w:sz w:val="18"/>
          <w:szCs w:val="18"/>
        </w:rPr>
        <w:t>.)</w:t>
      </w:r>
      <w:r w:rsidRPr="00496453">
        <w:rPr>
          <w:rFonts w:ascii="Arial" w:hAnsi="Arial" w:cs="Arial"/>
          <w:b/>
          <w:sz w:val="18"/>
          <w:szCs w:val="18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proofErr w:type="spellStart"/>
      <w:r w:rsidRPr="00496453">
        <w:rPr>
          <w:rFonts w:ascii="Arial" w:hAnsi="Arial" w:cs="Arial"/>
          <w:b/>
          <w:sz w:val="18"/>
          <w:szCs w:val="18"/>
        </w:rPr>
        <w:t>pièce</w:t>
      </w:r>
      <w:proofErr w:type="spellEnd"/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…………………</w:t>
      </w:r>
    </w:p>
    <w:p w14:paraId="36CE5C82" w14:textId="77777777" w:rsid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46B22E1E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p w14:paraId="231A1C3A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lastRenderedPageBreak/>
        <w:t>01.01.0040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Chauffage pour moteur d’entraînement</w:t>
      </w:r>
    </w:p>
    <w:p w14:paraId="58EDFC67" w14:textId="63599AB8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(Obligatoire pour variantes 1 et 2)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3CF8D0B0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01.01.0050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Chauffage de l’armoire électrique</w:t>
      </w:r>
    </w:p>
    <w:p w14:paraId="0A1C7C5E" w14:textId="7F916A98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(Obligatoire pour variantes 1 et 2)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01DBD986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01.01.0060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Déclencheur d’impulsion :</w:t>
      </w:r>
    </w:p>
    <w:p w14:paraId="00D3E9D2" w14:textId="5F2BDBF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Interrupteur à câble (rouge)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pour montage au plafond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</w:t>
      </w:r>
    </w:p>
    <w:p w14:paraId="5CBDC945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01.01.0070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Déclencheur d’impulsion :</w:t>
      </w:r>
    </w:p>
    <w:p w14:paraId="4CB8D929" w14:textId="64A73221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Bouton-poussoir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(tête champignon noire ou rouge)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</w:t>
      </w:r>
    </w:p>
    <w:p w14:paraId="6A6FE783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01.01.0080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Déclencheur / Sécurité :</w:t>
      </w:r>
    </w:p>
    <w:p w14:paraId="54D4CA9E" w14:textId="7D3AFF5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Détecteur de mouvement (technologie radar),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champ de détection et sens réglables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(En mode sécurité, inactif lorsque la porte est fermée)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026DF3CE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01.01.0090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Déclencheur / Sécurité :</w:t>
      </w:r>
    </w:p>
    <w:p w14:paraId="2328610F" w14:textId="5B62A743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Analyseur inductif, 2 canaux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incluant la pose de 2 boucles d’induction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(1 côté porte et 1 côté opposé)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2AD9B563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01.01.0100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Extension de commande GVM :</w:t>
      </w:r>
    </w:p>
    <w:p w14:paraId="779F84B7" w14:textId="72B79C83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Verrouillage mutuel de deux portes rapides EFAFLEX,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y compris câblage jusqu’à 5 m dans une conduite fournie par le client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3DB36361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01.01.0110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Extension de commande pour convoyage :</w:t>
      </w:r>
    </w:p>
    <w:p w14:paraId="25F866AB" w14:textId="0117E9D3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Bornier séparé dans l’armoire standard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pour les entrées / sorties suivantes :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Entrées : impulsion ouverture, impulsion fermeture, arrêt d’urgence, verrouillage,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déclencheurs d’impulsion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Sorties : contact libre de potentiel “Porte ouverte”, “Porte fermée”,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contact libre “Prêt / Défaut”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(sorties jusqu’à max. 24 V DC)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45876D36" w14:textId="1A485E5A" w:rsid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</w:p>
    <w:p w14:paraId="52F08E87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</w:p>
    <w:p w14:paraId="77758835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lastRenderedPageBreak/>
        <w:t>01.01.0120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Signalisations lumineuses :</w:t>
      </w:r>
    </w:p>
    <w:p w14:paraId="12613B05" w14:textId="7198BB9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Gyrophare jaune ou rouge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3721F1E1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01.01.0130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 xml:space="preserve">Poteau </w:t>
      </w:r>
      <w:proofErr w:type="spellStart"/>
      <w:r w:rsidRPr="00496453">
        <w:rPr>
          <w:rFonts w:ascii="Arial" w:hAnsi="Arial" w:cs="Arial"/>
          <w:b/>
          <w:bCs/>
          <w:sz w:val="18"/>
          <w:szCs w:val="18"/>
          <w:lang w:val="fr-FR"/>
        </w:rPr>
        <w:t>anti-choc</w:t>
      </w:r>
      <w:proofErr w:type="spellEnd"/>
      <w:r w:rsidRPr="00496453">
        <w:rPr>
          <w:rFonts w:ascii="Arial" w:hAnsi="Arial" w:cs="Arial"/>
          <w:b/>
          <w:bCs/>
          <w:sz w:val="18"/>
          <w:szCs w:val="18"/>
          <w:lang w:val="fr-FR"/>
        </w:rPr>
        <w:t xml:space="preserve"> :</w:t>
      </w:r>
    </w:p>
    <w:p w14:paraId="09ABA206" w14:textId="2C7B201E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Pr="00496453">
        <w:rPr>
          <w:rFonts w:ascii="Arial" w:hAnsi="Arial" w:cs="Arial"/>
          <w:sz w:val="18"/>
          <w:szCs w:val="18"/>
          <w:lang w:val="fr-FR"/>
        </w:rPr>
        <w:t>FLEXCORE 6, constitué d’un noyau métallique robuste,</w:t>
      </w:r>
      <w:r w:rsidRPr="00496453">
        <w:rPr>
          <w:rFonts w:ascii="Arial" w:hAnsi="Arial" w:cs="Arial"/>
          <w:sz w:val="18"/>
          <w:szCs w:val="18"/>
          <w:lang w:val="fr-FR"/>
        </w:rPr>
        <w:br/>
        <w:t>d’une gaine extérieure HDPE rotative,</w:t>
      </w:r>
      <w:r w:rsidRPr="00496453">
        <w:rPr>
          <w:rFonts w:ascii="Arial" w:hAnsi="Arial" w:cs="Arial"/>
          <w:sz w:val="18"/>
          <w:szCs w:val="18"/>
          <w:lang w:val="fr-FR"/>
        </w:rPr>
        <w:br/>
        <w:t>et d’un anneau amortisseur</w:t>
      </w:r>
      <w:r w:rsidRPr="00496453">
        <w:rPr>
          <w:rFonts w:ascii="Arial" w:hAnsi="Arial" w:cs="Arial"/>
          <w:sz w:val="18"/>
          <w:szCs w:val="18"/>
          <w:lang w:val="fr-FR"/>
        </w:rPr>
        <w:br/>
        <w:t>Hauteur : 1 370 mm</w:t>
      </w:r>
      <w:r w:rsidRPr="00496453">
        <w:rPr>
          <w:rFonts w:ascii="Arial" w:hAnsi="Arial" w:cs="Arial"/>
          <w:sz w:val="18"/>
          <w:szCs w:val="18"/>
          <w:lang w:val="fr-FR"/>
        </w:rPr>
        <w:br/>
        <w:t>Diamètre : 182 mm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1873693E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01.01.0140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Déverrouillage mécanique d’urgence</w:t>
      </w:r>
    </w:p>
    <w:p w14:paraId="76F9E4FA" w14:textId="0A8BD839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Pour le côté opposé de la porte, par levier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(encastré ou en saillie), permettant une ouverture partielle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via détente à ressort (libération du frein)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6BD231B2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496453">
        <w:rPr>
          <w:rFonts w:ascii="Arial" w:hAnsi="Arial" w:cs="Arial"/>
          <w:b/>
          <w:bCs/>
          <w:sz w:val="18"/>
          <w:szCs w:val="18"/>
          <w:lang w:val="fr-FR"/>
        </w:rPr>
        <w:t>01.01.0150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  <w:lang w:val="fr-FR"/>
        </w:rPr>
        <w:t>Accessoires armoire électrique</w:t>
      </w:r>
    </w:p>
    <w:p w14:paraId="3DD9F37D" w14:textId="31F2B476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ab/>
      </w:r>
      <w:r w:rsidRPr="00496453">
        <w:rPr>
          <w:rFonts w:ascii="Arial" w:hAnsi="Arial" w:cs="Arial"/>
          <w:bCs/>
          <w:sz w:val="18"/>
          <w:szCs w:val="18"/>
          <w:lang w:val="fr-FR"/>
        </w:rPr>
        <w:t>Support d’armoire AE1060,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revêtu poudre RAL,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pour armoire 600 × 600 × 210 mm,</w:t>
      </w:r>
      <w:r w:rsidRPr="00496453">
        <w:rPr>
          <w:rFonts w:ascii="Arial" w:hAnsi="Arial" w:cs="Arial"/>
          <w:bCs/>
          <w:sz w:val="18"/>
          <w:szCs w:val="18"/>
          <w:lang w:val="fr-FR"/>
        </w:rPr>
        <w:br/>
        <w:t>montage mural</w:t>
      </w:r>
      <w:r w:rsidRPr="00496453">
        <w:rPr>
          <w:rFonts w:ascii="Arial" w:hAnsi="Arial" w:cs="Arial"/>
          <w:b/>
          <w:sz w:val="18"/>
          <w:szCs w:val="18"/>
          <w:lang w:val="fr-FR"/>
        </w:rPr>
        <w:br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1,000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pièce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  <w:r w:rsidRPr="00496453">
        <w:rPr>
          <w:rFonts w:ascii="Arial" w:hAnsi="Arial" w:cs="Arial"/>
          <w:b/>
          <w:sz w:val="18"/>
          <w:szCs w:val="18"/>
        </w:rPr>
        <w:t> </w:t>
      </w:r>
      <w:r w:rsidRPr="00496453">
        <w:rPr>
          <w:rFonts w:ascii="Arial" w:hAnsi="Arial" w:cs="Arial"/>
          <w:b/>
          <w:sz w:val="18"/>
          <w:szCs w:val="18"/>
          <w:lang w:val="fr-FR"/>
        </w:rPr>
        <w:t>…………………</w:t>
      </w:r>
    </w:p>
    <w:p w14:paraId="6D5EC804" w14:textId="77777777" w:rsidR="00496453" w:rsidRPr="00496453" w:rsidRDefault="00496453" w:rsidP="00496453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</w:rPr>
      </w:pPr>
      <w:r w:rsidRPr="00496453">
        <w:rPr>
          <w:rFonts w:ascii="Arial" w:hAnsi="Arial" w:cs="Arial"/>
          <w:b/>
          <w:bCs/>
          <w:sz w:val="18"/>
          <w:szCs w:val="18"/>
        </w:rPr>
        <w:t>01.01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 xml:space="preserve">Portes </w:t>
      </w:r>
      <w:proofErr w:type="spellStart"/>
      <w:r w:rsidRPr="00496453">
        <w:rPr>
          <w:rFonts w:ascii="Arial" w:hAnsi="Arial" w:cs="Arial"/>
          <w:b/>
          <w:bCs/>
          <w:sz w:val="18"/>
          <w:szCs w:val="18"/>
        </w:rPr>
        <w:t>frigorifiques</w:t>
      </w:r>
      <w:proofErr w:type="spellEnd"/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Total :</w:t>
      </w:r>
      <w:r w:rsidRPr="00496453">
        <w:rPr>
          <w:rFonts w:ascii="Arial" w:hAnsi="Arial" w:cs="Arial"/>
          <w:b/>
          <w:bCs/>
          <w:sz w:val="18"/>
          <w:szCs w:val="18"/>
        </w:rPr>
        <w:t> </w:t>
      </w:r>
      <w:r w:rsidRPr="00496453">
        <w:rPr>
          <w:rFonts w:ascii="Arial" w:hAnsi="Arial" w:cs="Arial"/>
          <w:b/>
          <w:bCs/>
          <w:sz w:val="18"/>
          <w:szCs w:val="18"/>
        </w:rPr>
        <w:t>…………………</w:t>
      </w:r>
    </w:p>
    <w:p w14:paraId="17F6FCC3" w14:textId="682C37D6" w:rsidR="001E382A" w:rsidRPr="001E382A" w:rsidRDefault="001E382A" w:rsidP="00496453">
      <w:pPr>
        <w:spacing w:line="360" w:lineRule="auto"/>
        <w:ind w:left="1410" w:hanging="1410"/>
        <w:rPr>
          <w:rFonts w:ascii="Arial" w:hAnsi="Arial" w:cs="Arial"/>
          <w:b/>
          <w:sz w:val="18"/>
          <w:szCs w:val="18"/>
        </w:rPr>
      </w:pPr>
    </w:p>
    <w:sectPr w:rsidR="001E382A" w:rsidRPr="001E382A" w:rsidSect="00A757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C0405D"/>
    <w:multiLevelType w:val="hybridMultilevel"/>
    <w:tmpl w:val="CDE8F9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998768920">
    <w:abstractNumId w:val="0"/>
  </w:num>
  <w:num w:numId="2" w16cid:durableId="1875268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2741E"/>
    <w:rsid w:val="00054E7C"/>
    <w:rsid w:val="000B1558"/>
    <w:rsid w:val="000B32FA"/>
    <w:rsid w:val="000B4195"/>
    <w:rsid w:val="000B42F1"/>
    <w:rsid w:val="000C5B06"/>
    <w:rsid w:val="000C6292"/>
    <w:rsid w:val="000D3A49"/>
    <w:rsid w:val="000F05A8"/>
    <w:rsid w:val="00106992"/>
    <w:rsid w:val="00152E7A"/>
    <w:rsid w:val="001539FD"/>
    <w:rsid w:val="00170E1E"/>
    <w:rsid w:val="00174743"/>
    <w:rsid w:val="001B6B11"/>
    <w:rsid w:val="001C2E46"/>
    <w:rsid w:val="001C3639"/>
    <w:rsid w:val="001E382A"/>
    <w:rsid w:val="002529D4"/>
    <w:rsid w:val="002619AA"/>
    <w:rsid w:val="002742D5"/>
    <w:rsid w:val="00276617"/>
    <w:rsid w:val="002A1C76"/>
    <w:rsid w:val="002D1E98"/>
    <w:rsid w:val="00315551"/>
    <w:rsid w:val="003363E5"/>
    <w:rsid w:val="003C70A5"/>
    <w:rsid w:val="003D076F"/>
    <w:rsid w:val="00407026"/>
    <w:rsid w:val="004103A0"/>
    <w:rsid w:val="00431A31"/>
    <w:rsid w:val="00442E1E"/>
    <w:rsid w:val="004841E3"/>
    <w:rsid w:val="0049102D"/>
    <w:rsid w:val="00496453"/>
    <w:rsid w:val="004A30EB"/>
    <w:rsid w:val="004B683A"/>
    <w:rsid w:val="004C0733"/>
    <w:rsid w:val="004E139C"/>
    <w:rsid w:val="004F64FE"/>
    <w:rsid w:val="00533300"/>
    <w:rsid w:val="00541847"/>
    <w:rsid w:val="00555F21"/>
    <w:rsid w:val="005A00FA"/>
    <w:rsid w:val="005A5F7F"/>
    <w:rsid w:val="005D1C37"/>
    <w:rsid w:val="00641945"/>
    <w:rsid w:val="00645E0F"/>
    <w:rsid w:val="00661A75"/>
    <w:rsid w:val="0067257F"/>
    <w:rsid w:val="006907C8"/>
    <w:rsid w:val="006923B7"/>
    <w:rsid w:val="0069408E"/>
    <w:rsid w:val="006C1B2F"/>
    <w:rsid w:val="006D4A7F"/>
    <w:rsid w:val="006F0E01"/>
    <w:rsid w:val="006F347C"/>
    <w:rsid w:val="006F7E02"/>
    <w:rsid w:val="0070423D"/>
    <w:rsid w:val="007166F2"/>
    <w:rsid w:val="00762B25"/>
    <w:rsid w:val="00772440"/>
    <w:rsid w:val="007A666F"/>
    <w:rsid w:val="007C1D23"/>
    <w:rsid w:val="007C2AC9"/>
    <w:rsid w:val="007D228D"/>
    <w:rsid w:val="007D5256"/>
    <w:rsid w:val="00804673"/>
    <w:rsid w:val="00814F6B"/>
    <w:rsid w:val="00832D1D"/>
    <w:rsid w:val="00855C3C"/>
    <w:rsid w:val="00863534"/>
    <w:rsid w:val="008932D7"/>
    <w:rsid w:val="0089358D"/>
    <w:rsid w:val="008D2303"/>
    <w:rsid w:val="008D7D8B"/>
    <w:rsid w:val="008F080D"/>
    <w:rsid w:val="008F161A"/>
    <w:rsid w:val="00927459"/>
    <w:rsid w:val="009440C7"/>
    <w:rsid w:val="009916D2"/>
    <w:rsid w:val="009D420C"/>
    <w:rsid w:val="009E76C2"/>
    <w:rsid w:val="00A33E73"/>
    <w:rsid w:val="00A42A43"/>
    <w:rsid w:val="00A508D1"/>
    <w:rsid w:val="00A60685"/>
    <w:rsid w:val="00A7570C"/>
    <w:rsid w:val="00A84523"/>
    <w:rsid w:val="00A93E15"/>
    <w:rsid w:val="00AD40C8"/>
    <w:rsid w:val="00B45B99"/>
    <w:rsid w:val="00B66205"/>
    <w:rsid w:val="00B72A6D"/>
    <w:rsid w:val="00B83F5E"/>
    <w:rsid w:val="00B85A96"/>
    <w:rsid w:val="00BD7D50"/>
    <w:rsid w:val="00BE0CF6"/>
    <w:rsid w:val="00C039D5"/>
    <w:rsid w:val="00C24EFD"/>
    <w:rsid w:val="00C625D2"/>
    <w:rsid w:val="00CD10CC"/>
    <w:rsid w:val="00CF7248"/>
    <w:rsid w:val="00D176A6"/>
    <w:rsid w:val="00D17ED1"/>
    <w:rsid w:val="00D33CBE"/>
    <w:rsid w:val="00DD093C"/>
    <w:rsid w:val="00DD2714"/>
    <w:rsid w:val="00DE77AD"/>
    <w:rsid w:val="00DF107D"/>
    <w:rsid w:val="00E65C27"/>
    <w:rsid w:val="00E87C7B"/>
    <w:rsid w:val="00EB124E"/>
    <w:rsid w:val="00EB5633"/>
    <w:rsid w:val="00EF4060"/>
    <w:rsid w:val="00F14ED9"/>
    <w:rsid w:val="00F4453A"/>
    <w:rsid w:val="00F62200"/>
    <w:rsid w:val="00F722E3"/>
    <w:rsid w:val="00F9648D"/>
    <w:rsid w:val="00F96857"/>
    <w:rsid w:val="00FE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rsid w:val="004841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f8050-1dc8-43c6-bcce-2a2d0bbe04ab">
      <Terms xmlns="http://schemas.microsoft.com/office/infopath/2007/PartnerControls"/>
    </lcf76f155ced4ddcb4097134ff3c332f>
    <TaxCatchAll xmlns="5bdd9a1f-a03a-4005-8567-3096189106d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AF6E3-3904-4728-AEAA-E9A14F568DA2}">
  <ds:schemaRefs>
    <ds:schemaRef ds:uri="http://schemas.microsoft.com/office/2006/metadata/properties"/>
    <ds:schemaRef ds:uri="http://schemas.microsoft.com/office/infopath/2007/PartnerControls"/>
    <ds:schemaRef ds:uri="588f8050-1dc8-43c6-bcce-2a2d0bbe04ab"/>
    <ds:schemaRef ds:uri="5bdd9a1f-a03a-4005-8567-3096189106d9"/>
  </ds:schemaRefs>
</ds:datastoreItem>
</file>

<file path=customXml/itemProps2.xml><?xml version="1.0" encoding="utf-8"?>
<ds:datastoreItem xmlns:ds="http://schemas.openxmlformats.org/officeDocument/2006/customXml" ds:itemID="{1DBF4984-EAAD-4199-9406-D52075797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8CE1C-C992-4937-AC7C-93487F080D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4848</Characters>
  <Application>Microsoft Office Word</Application>
  <DocSecurity>0</DocSecurity>
  <Lines>40</Lines>
  <Paragraphs>11</Paragraphs>
  <ScaleCrop>false</ScaleCrop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2</cp:revision>
  <dcterms:created xsi:type="dcterms:W3CDTF">2025-11-19T09:51:00Z</dcterms:created>
  <dcterms:modified xsi:type="dcterms:W3CDTF">2025-11-19T09:51:00Z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0x010100F10ED40BCD8D6048865B90DC3BC49F59</vt:lpwstr>
  </property>
  <property fmtid="{D5CDD505-2E9C-101B-9397-08002B2CF9AE}" pid="3" name="MediaServiceImageTags">
    <vt:lpwstr/>
  </property>
</Properties>
</file>